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A74A0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第一步：打开网址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https://gsxt.amr.jiangxi.gov.cn/credit_announcement.jsp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，点击左侧“双随机公告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”。</w:t>
      </w:r>
    </w:p>
    <w:p w14:paraId="7688E457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B99FF1E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71135" cy="3140710"/>
            <wp:effectExtent l="0" t="0" r="5715" b="254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BAE30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9B2369E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第二步：点击进入左侧“结果公告”。</w:t>
      </w:r>
    </w:p>
    <w:p w14:paraId="5ED86B9B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72405" cy="2921000"/>
            <wp:effectExtent l="0" t="0" r="4445" b="1270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B9A8A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89C9A7A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第三步：点击“南昌市”。</w:t>
      </w:r>
    </w:p>
    <w:p w14:paraId="7E1E4BB5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2880" cy="3069590"/>
            <wp:effectExtent l="0" t="0" r="13970" b="16510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06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8827C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88EA2E3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第四步：输入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双随机任务名称（有关键字即可，如南昌市市场监督管理局、预拌混凝土企业等）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E84B71B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71135" cy="3075940"/>
            <wp:effectExtent l="0" t="0" r="5715" b="10160"/>
            <wp:docPr id="3" name="图片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7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DD70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B0ED0AF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F560BEE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第五步：输入企业名称。</w:t>
      </w:r>
    </w:p>
    <w:p w14:paraId="6431D48C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6690" cy="2974340"/>
            <wp:effectExtent l="0" t="0" r="10160" b="16510"/>
            <wp:docPr id="2" name="图片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7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33A57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945401B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第六步：点击“查看”。</w:t>
      </w:r>
    </w:p>
    <w:p w14:paraId="792B1D68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6690" cy="2932430"/>
            <wp:effectExtent l="0" t="0" r="10160" b="1270"/>
            <wp:docPr id="1" name="图片 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145DC5"/>
    <w:rsid w:val="566E0C80"/>
    <w:rsid w:val="58A5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</Words>
  <Characters>137</Characters>
  <Lines>0</Lines>
  <Paragraphs>0</Paragraphs>
  <TotalTime>10</TotalTime>
  <ScaleCrop>false</ScaleCrop>
  <LinksUpToDate>false</LinksUpToDate>
  <CharactersWithSpaces>137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2026-07-10T02:23:00Z</dcterms:created>
  <dc:creator>Administrator</dc:creator>
  <cp:lastModifiedBy>Administrator</cp:lastModifiedBy>
  <dcterms:modified xsi:type="dcterms:W3CDTF">2026-07-10T03:00:33Z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eyJoZGlkIjoiMDA5ODkxOWU0ZmQ3YjllYWZiZGRmNGYyNTQ5NTNiODMifQ==</vt:lpwstr>
  </property>
  <property fmtid="{D5CDD505-2E9C-101B-9397-08002B2CF9AE}" pid="4" name="ICV">
    <vt:lpwstr>FA576322AF5C4F8CB16EBE74FE92725F_12</vt:lpwstr>
  </property>
</Properties>
</file>