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Arial"/>
          <w:bCs/>
          <w:color w:val="000000"/>
          <w:sz w:val="32"/>
          <w:szCs w:val="32"/>
        </w:rPr>
      </w:pPr>
      <w:r>
        <w:rPr>
          <w:rFonts w:hint="eastAsia" w:ascii="黑体" w:hAnsi="宋体" w:eastAsia="黑体" w:cs="Arial"/>
          <w:bCs/>
          <w:color w:val="000000"/>
          <w:sz w:val="32"/>
          <w:szCs w:val="32"/>
        </w:rPr>
        <w:t>附件6：</w:t>
      </w:r>
    </w:p>
    <w:p>
      <w:pPr>
        <w:rPr>
          <w:rFonts w:ascii="黑体" w:hAnsi="宋体" w:eastAsia="黑体" w:cs="Arial"/>
          <w:bCs/>
          <w:color w:val="000000"/>
          <w:sz w:val="32"/>
          <w:szCs w:val="32"/>
        </w:rPr>
      </w:pPr>
    </w:p>
    <w:p>
      <w:pPr>
        <w:jc w:val="center"/>
        <w:rPr>
          <w:rFonts w:ascii="方正小标宋简体" w:hAnsi="宋体" w:eastAsia="方正小标宋简体" w:cs="Arial"/>
          <w:bCs/>
          <w:color w:val="000000"/>
          <w:sz w:val="44"/>
          <w:szCs w:val="44"/>
        </w:rPr>
      </w:pPr>
      <w:r>
        <w:rPr>
          <w:rFonts w:hint="eastAsia" w:ascii="方正小标宋简体" w:hAnsi="宋体" w:eastAsia="方正小标宋简体" w:cs="Arial"/>
          <w:bCs/>
          <w:color w:val="000000"/>
          <w:sz w:val="44"/>
          <w:szCs w:val="44"/>
        </w:rPr>
        <w:t>食品药品稽查工作项目支出绩效评价报告</w:t>
      </w:r>
    </w:p>
    <w:p>
      <w:pPr>
        <w:rPr>
          <w:rFonts w:ascii="黑体" w:hAnsi="宋体" w:eastAsia="黑体" w:cs="Arial"/>
          <w:bCs/>
          <w:color w:val="000000"/>
          <w:sz w:val="32"/>
          <w:szCs w:val="32"/>
        </w:rPr>
      </w:pPr>
    </w:p>
    <w:p>
      <w:pPr>
        <w:spacing w:line="600" w:lineRule="exact"/>
        <w:ind w:firstLine="160" w:firstLineChars="50"/>
        <w:rPr>
          <w:rFonts w:ascii="黑体" w:hAnsi="黑体" w:eastAsia="黑体" w:cs="黑体"/>
          <w:bCs/>
          <w:color w:val="000000"/>
          <w:sz w:val="32"/>
          <w:szCs w:val="32"/>
          <w:u w:val="single"/>
        </w:rPr>
      </w:pPr>
      <w:r>
        <w:rPr>
          <w:rFonts w:hint="eastAsia" w:ascii="黑体" w:hAnsi="宋体" w:eastAsia="黑体" w:cs="Arial"/>
          <w:bCs/>
          <w:color w:val="000000"/>
          <w:sz w:val="32"/>
          <w:szCs w:val="32"/>
        </w:rPr>
        <w:t>项目名称：</w:t>
      </w:r>
      <w:r>
        <w:rPr>
          <w:rFonts w:hint="eastAsia" w:ascii="黑体" w:hAnsi="黑体" w:eastAsia="黑体" w:cs="黑体"/>
          <w:bCs/>
          <w:color w:val="000000"/>
          <w:sz w:val="32"/>
          <w:szCs w:val="32"/>
          <w:u w:val="single"/>
        </w:rPr>
        <w:t xml:space="preserve">           食品药品稽查工作                              </w:t>
      </w:r>
    </w:p>
    <w:p>
      <w:pPr>
        <w:spacing w:line="600" w:lineRule="exact"/>
        <w:rPr>
          <w:rFonts w:ascii="黑体" w:hAnsi="宋体" w:eastAsia="黑体" w:cs="Arial"/>
          <w:bCs/>
          <w:color w:val="000000"/>
          <w:sz w:val="32"/>
          <w:szCs w:val="32"/>
        </w:rPr>
      </w:pPr>
    </w:p>
    <w:p>
      <w:pPr>
        <w:spacing w:line="600" w:lineRule="exact"/>
        <w:ind w:firstLine="160" w:firstLineChars="50"/>
        <w:rPr>
          <w:rFonts w:ascii="黑体" w:hAnsi="宋体" w:eastAsia="黑体" w:cs="Arial"/>
          <w:bCs/>
          <w:color w:val="000000"/>
          <w:sz w:val="32"/>
          <w:szCs w:val="32"/>
        </w:rPr>
      </w:pPr>
      <w:r>
        <w:rPr>
          <w:rFonts w:hint="eastAsia" w:ascii="黑体" w:hAnsi="宋体" w:eastAsia="黑体" w:cs="Arial"/>
          <w:bCs/>
          <w:color w:val="000000"/>
          <w:sz w:val="32"/>
          <w:szCs w:val="32"/>
        </w:rPr>
        <w:t>项目类别：</w:t>
      </w:r>
      <w:r>
        <w:rPr>
          <w:rFonts w:hint="eastAsia" w:ascii="黑体" w:hAnsi="黑体" w:eastAsia="黑体" w:cs="黑体"/>
          <w:bCs/>
          <w:color w:val="000000"/>
          <w:sz w:val="32"/>
          <w:szCs w:val="32"/>
          <w:u w:val="single"/>
        </w:rPr>
        <w:t xml:space="preserve">                行政执法                  </w:t>
      </w:r>
    </w:p>
    <w:p>
      <w:pPr>
        <w:spacing w:line="600" w:lineRule="exact"/>
        <w:rPr>
          <w:rFonts w:ascii="黑体" w:hAnsi="宋体" w:eastAsia="黑体" w:cs="Arial"/>
          <w:bCs/>
          <w:color w:val="000000"/>
          <w:sz w:val="32"/>
          <w:szCs w:val="32"/>
        </w:rPr>
      </w:pPr>
    </w:p>
    <w:p>
      <w:pPr>
        <w:spacing w:line="600" w:lineRule="exact"/>
        <w:ind w:firstLine="160" w:firstLineChars="50"/>
        <w:rPr>
          <w:rFonts w:ascii="黑体" w:hAnsi="宋体" w:eastAsia="黑体" w:cs="Arial"/>
          <w:bCs/>
          <w:color w:val="000000"/>
          <w:sz w:val="32"/>
          <w:szCs w:val="32"/>
        </w:rPr>
      </w:pPr>
      <w:r>
        <w:rPr>
          <w:rFonts w:hint="eastAsia" w:ascii="黑体" w:hAnsi="宋体" w:eastAsia="黑体" w:cs="Arial"/>
          <w:bCs/>
          <w:color w:val="000000"/>
          <w:sz w:val="32"/>
          <w:szCs w:val="32"/>
        </w:rPr>
        <w:t>实施单位：</w:t>
      </w:r>
      <w:r>
        <w:rPr>
          <w:rFonts w:hint="eastAsia" w:ascii="黑体" w:hAnsi="黑体" w:eastAsia="黑体" w:cs="黑体"/>
          <w:bCs/>
          <w:color w:val="000000"/>
          <w:sz w:val="32"/>
          <w:szCs w:val="32"/>
          <w:u w:val="single"/>
        </w:rPr>
        <w:t xml:space="preserve">         南昌市食品药品稽查支队                               </w:t>
      </w:r>
    </w:p>
    <w:p>
      <w:pPr>
        <w:spacing w:line="600" w:lineRule="exact"/>
        <w:rPr>
          <w:rFonts w:ascii="黑体" w:hAnsi="宋体" w:eastAsia="黑体" w:cs="Arial"/>
          <w:bCs/>
          <w:color w:val="000000"/>
          <w:sz w:val="32"/>
          <w:szCs w:val="32"/>
        </w:rPr>
      </w:pPr>
    </w:p>
    <w:p>
      <w:pPr>
        <w:spacing w:line="600" w:lineRule="exact"/>
        <w:ind w:firstLine="160" w:firstLineChars="50"/>
        <w:rPr>
          <w:rFonts w:ascii="黑体" w:hAnsi="宋体" w:eastAsia="黑体" w:cs="Arial"/>
          <w:bCs/>
          <w:color w:val="000000"/>
          <w:sz w:val="32"/>
          <w:szCs w:val="32"/>
        </w:rPr>
      </w:pPr>
      <w:r>
        <w:rPr>
          <w:rFonts w:hint="eastAsia" w:ascii="黑体" w:hAnsi="宋体" w:eastAsia="黑体" w:cs="Arial"/>
          <w:bCs/>
          <w:color w:val="000000"/>
          <w:sz w:val="32"/>
          <w:szCs w:val="32"/>
        </w:rPr>
        <w:t>主管部门：</w:t>
      </w:r>
      <w:r>
        <w:rPr>
          <w:rFonts w:hint="eastAsia" w:ascii="黑体" w:hAnsi="黑体" w:eastAsia="黑体" w:cs="黑体"/>
          <w:bCs/>
          <w:color w:val="000000"/>
          <w:sz w:val="32"/>
          <w:szCs w:val="32"/>
          <w:u w:val="single"/>
        </w:rPr>
        <w:t xml:space="preserve">          南昌市市场监督管理局    （盖章）</w:t>
      </w:r>
    </w:p>
    <w:p>
      <w:pPr>
        <w:spacing w:line="600" w:lineRule="exact"/>
        <w:rPr>
          <w:rFonts w:ascii="黑体" w:hAnsi="宋体" w:eastAsia="黑体" w:cs="Arial"/>
          <w:bCs/>
          <w:color w:val="000000"/>
          <w:sz w:val="32"/>
          <w:szCs w:val="32"/>
        </w:rPr>
      </w:pPr>
    </w:p>
    <w:p>
      <w:pPr>
        <w:spacing w:line="600" w:lineRule="exact"/>
        <w:ind w:firstLine="160" w:firstLineChars="50"/>
        <w:rPr>
          <w:rFonts w:ascii="黑体" w:hAnsi="宋体" w:eastAsia="黑体" w:cs="Arial"/>
          <w:bCs/>
          <w:color w:val="000000"/>
          <w:sz w:val="32"/>
          <w:szCs w:val="32"/>
        </w:rPr>
      </w:pPr>
      <w:r>
        <w:rPr>
          <w:rFonts w:hint="eastAsia" w:ascii="黑体" w:hAnsi="宋体" w:eastAsia="黑体" w:cs="Arial"/>
          <w:bCs/>
          <w:color w:val="000000"/>
          <w:sz w:val="32"/>
          <w:szCs w:val="32"/>
        </w:rPr>
        <w:t>评价机构：</w:t>
      </w:r>
      <w:r>
        <w:rPr>
          <w:rFonts w:hint="eastAsia" w:ascii="黑体" w:hAnsi="黑体" w:eastAsia="黑体" w:cs="黑体"/>
          <w:bCs/>
          <w:color w:val="000000"/>
          <w:sz w:val="32"/>
          <w:szCs w:val="32"/>
          <w:u w:val="single"/>
        </w:rPr>
        <w:t xml:space="preserve">          南昌市市场监督管理局    （盖章）</w:t>
      </w:r>
    </w:p>
    <w:p>
      <w:pPr>
        <w:spacing w:line="600" w:lineRule="exact"/>
        <w:rPr>
          <w:rFonts w:ascii="黑体" w:hAnsi="宋体" w:eastAsia="黑体" w:cs="Arial"/>
          <w:bCs/>
          <w:color w:val="000000"/>
          <w:sz w:val="32"/>
          <w:szCs w:val="32"/>
        </w:rPr>
      </w:pPr>
    </w:p>
    <w:p>
      <w:pPr>
        <w:spacing w:line="600" w:lineRule="exact"/>
        <w:ind w:firstLine="160" w:firstLineChars="50"/>
        <w:rPr>
          <w:rFonts w:ascii="黑体" w:hAnsi="宋体" w:eastAsia="黑体" w:cs="Arial"/>
          <w:bCs/>
          <w:color w:val="000000"/>
          <w:sz w:val="32"/>
          <w:szCs w:val="32"/>
        </w:rPr>
      </w:pPr>
      <w:r>
        <w:rPr>
          <w:rFonts w:hint="eastAsia" w:ascii="黑体" w:hAnsi="宋体" w:eastAsia="黑体" w:cs="Arial"/>
          <w:bCs/>
          <w:color w:val="000000"/>
          <w:sz w:val="32"/>
          <w:szCs w:val="32"/>
        </w:rPr>
        <w:t>评价年度：</w:t>
      </w:r>
      <w:r>
        <w:rPr>
          <w:rFonts w:hint="eastAsia" w:ascii="黑体" w:hAnsi="黑体" w:eastAsia="黑体" w:cs="黑体"/>
          <w:bCs/>
          <w:color w:val="000000"/>
          <w:sz w:val="32"/>
          <w:szCs w:val="32"/>
          <w:u w:val="single"/>
        </w:rPr>
        <w:t xml:space="preserve">               2020年度                             </w:t>
      </w:r>
    </w:p>
    <w:p>
      <w:pPr>
        <w:rPr>
          <w:rFonts w:ascii="黑体" w:hAnsi="宋体" w:eastAsia="黑体" w:cs="Arial"/>
          <w:bCs/>
          <w:color w:val="000000"/>
          <w:sz w:val="32"/>
          <w:szCs w:val="32"/>
        </w:rPr>
      </w:pPr>
    </w:p>
    <w:p>
      <w:pPr>
        <w:jc w:val="center"/>
        <w:rPr>
          <w:rFonts w:ascii="黑体" w:hAnsi="宋体" w:eastAsia="黑体" w:cs="Arial"/>
          <w:bCs/>
          <w:color w:val="000000"/>
          <w:sz w:val="32"/>
          <w:szCs w:val="32"/>
        </w:rPr>
      </w:pPr>
    </w:p>
    <w:p>
      <w:pPr>
        <w:jc w:val="center"/>
        <w:rPr>
          <w:rFonts w:ascii="黑体" w:hAnsi="宋体" w:eastAsia="黑体" w:cs="Arial"/>
          <w:bCs/>
          <w:color w:val="000000"/>
          <w:sz w:val="32"/>
          <w:szCs w:val="32"/>
        </w:rPr>
      </w:pPr>
    </w:p>
    <w:p>
      <w:pPr>
        <w:jc w:val="center"/>
        <w:rPr>
          <w:rFonts w:ascii="黑体" w:hAnsi="宋体" w:eastAsia="黑体" w:cs="Arial"/>
          <w:bCs/>
          <w:color w:val="000000"/>
          <w:sz w:val="32"/>
          <w:szCs w:val="32"/>
        </w:rPr>
      </w:pPr>
      <w:r>
        <w:rPr>
          <w:rFonts w:hint="eastAsia" w:ascii="黑体" w:hAnsi="宋体" w:eastAsia="黑体" w:cs="Arial"/>
          <w:bCs/>
          <w:color w:val="000000"/>
          <w:sz w:val="32"/>
          <w:szCs w:val="32"/>
        </w:rPr>
        <w:t>2021年 5月 20 日</w:t>
      </w:r>
    </w:p>
    <w:p>
      <w:pPr>
        <w:jc w:val="center"/>
        <w:rPr>
          <w:rFonts w:ascii="黑体" w:hAnsi="宋体" w:eastAsia="黑体" w:cs="Arial"/>
          <w:bCs/>
          <w:color w:val="000000"/>
          <w:sz w:val="32"/>
          <w:szCs w:val="32"/>
        </w:rPr>
      </w:pPr>
    </w:p>
    <w:p>
      <w:pPr>
        <w:ind w:firstLine="720" w:firstLineChars="400"/>
        <w:rPr>
          <w:rFonts w:ascii="黑体" w:eastAsia="黑体"/>
          <w:color w:val="000000"/>
          <w:sz w:val="18"/>
          <w:szCs w:val="18"/>
        </w:rPr>
      </w:pPr>
    </w:p>
    <w:p>
      <w:pPr>
        <w:ind w:firstLine="720" w:firstLineChars="400"/>
        <w:rPr>
          <w:rFonts w:ascii="黑体" w:eastAsia="黑体"/>
          <w:color w:val="000000"/>
          <w:sz w:val="18"/>
          <w:szCs w:val="18"/>
        </w:rPr>
      </w:pPr>
    </w:p>
    <w:p>
      <w:pPr>
        <w:ind w:firstLine="720" w:firstLineChars="400"/>
        <w:rPr>
          <w:rFonts w:ascii="黑体" w:eastAsia="黑体"/>
          <w:color w:val="000000"/>
          <w:sz w:val="18"/>
          <w:szCs w:val="18"/>
        </w:rPr>
      </w:pPr>
    </w:p>
    <w:p>
      <w:pPr>
        <w:ind w:firstLine="720" w:firstLineChars="400"/>
        <w:rPr>
          <w:rFonts w:ascii="黑体" w:eastAsia="黑体"/>
          <w:color w:val="000000"/>
          <w:sz w:val="18"/>
          <w:szCs w:val="18"/>
        </w:rPr>
      </w:pPr>
    </w:p>
    <w:p>
      <w:pPr>
        <w:rPr>
          <w:rFonts w:ascii="黑体" w:eastAsia="黑体"/>
          <w:color w:val="000000"/>
          <w:sz w:val="18"/>
          <w:szCs w:val="18"/>
        </w:rPr>
      </w:pPr>
    </w:p>
    <w:p>
      <w:pPr>
        <w:ind w:firstLine="720" w:firstLineChars="400"/>
        <w:rPr>
          <w:rFonts w:ascii="黑体" w:eastAsia="黑体"/>
          <w:color w:val="000000"/>
          <w:sz w:val="18"/>
          <w:szCs w:val="18"/>
        </w:rPr>
      </w:pPr>
    </w:p>
    <w:p>
      <w:pPr>
        <w:rPr>
          <w:rFonts w:ascii="黑体" w:eastAsia="黑体"/>
          <w:color w:val="000000"/>
          <w:sz w:val="18"/>
          <w:szCs w:val="18"/>
        </w:rPr>
      </w:pPr>
    </w:p>
    <w:p>
      <w:pPr>
        <w:pStyle w:val="2"/>
      </w:pPr>
      <w:bookmarkStart w:id="0" w:name="_Toc12571"/>
      <w:r>
        <w:rPr>
          <w:rFonts w:hint="eastAsia"/>
        </w:rPr>
        <w:t>2020年度南昌市食品药品稽查支队食品药品安全稽查工作经费绩效评价报告</w:t>
      </w:r>
      <w:bookmarkEnd w:id="0"/>
    </w:p>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财政支出绩效评价是财政管理体制改革的重大课题，也是建设廉洁高效政府的关键措施。通过绩效评价，可以强化支出责任，优化资源配置，提高财政资金的使用效益。</w:t>
      </w:r>
    </w:p>
    <w:p>
      <w:pPr>
        <w:spacing w:line="360" w:lineRule="auto"/>
        <w:ind w:firstLine="640" w:firstLineChars="200"/>
        <w:rPr>
          <w:rFonts w:ascii="仿宋_GB2312" w:hAnsi="仿宋" w:eastAsia="仿宋_GB2312" w:cs="方正仿宋_GB2312"/>
          <w:color w:val="000000"/>
          <w:kern w:val="32"/>
          <w:sz w:val="32"/>
          <w:szCs w:val="32"/>
        </w:rPr>
      </w:pPr>
      <w:bookmarkStart w:id="1" w:name="_Hlk6927664"/>
      <w:bookmarkStart w:id="2" w:name="_Hlk6928614"/>
      <w:r>
        <w:rPr>
          <w:rFonts w:hint="eastAsia" w:ascii="仿宋_GB2312" w:hAnsi="仿宋" w:eastAsia="仿宋_GB2312" w:cs="方正仿宋_GB2312"/>
          <w:color w:val="000000"/>
          <w:kern w:val="32"/>
          <w:sz w:val="32"/>
          <w:szCs w:val="32"/>
        </w:rPr>
        <w:t>南昌市食品药品稽查支队食品药品安全稽查工作主要是</w:t>
      </w:r>
      <w:bookmarkEnd w:id="1"/>
      <w:r>
        <w:rPr>
          <w:rFonts w:hint="eastAsia" w:ascii="仿宋_GB2312" w:hAnsi="仿宋" w:eastAsia="仿宋_GB2312" w:cs="方正仿宋_GB2312"/>
          <w:color w:val="000000"/>
          <w:kern w:val="32"/>
          <w:sz w:val="32"/>
          <w:szCs w:val="32"/>
        </w:rPr>
        <w:t>根据省委省政府、市委市政府的文件要求以及南昌市市场监督管理局的工作部署，</w:t>
      </w:r>
      <w:bookmarkEnd w:id="2"/>
      <w:r>
        <w:rPr>
          <w:rFonts w:hint="eastAsia" w:ascii="仿宋_GB2312" w:hAnsi="仿宋" w:eastAsia="仿宋_GB2312" w:cs="方正仿宋_GB2312"/>
          <w:color w:val="000000"/>
          <w:kern w:val="32"/>
          <w:sz w:val="32"/>
          <w:szCs w:val="32"/>
        </w:rPr>
        <w:t>负责本市辖区内居民饮食用药的安全及相关法律法规的宣传，对生产和流通领域中的食品药品进行检查并对抽检不合格的产品进行处置工作。食品药品领域重大违法线索查处。</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为深入贯彻落实《预算法》文件精神，认真履行全面实施绩效管理的“十九大”精神，强化预算支出责任，提高财政资金使用效益，根据《江西省人民政府关于全面推进预算绩效管理的实施意见》（赣府发[2013]8号）、《南昌市人民政府关于印发&lt;南昌市财政支出绩效评价管理办法&gt;（试行）的通知》（洪府发[2014]8号）、《南昌市财政局关于开展2020年度市级部门财政项目支出绩效评价工作的通知》（洪财办[2021]7号）等文件的要求，开展本次绩效评价工作。</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为保证绩效自评工作依法依规、实事求是；确保数据真实准确、内容全面完整；防止弄虚作假、虚抬分数，南昌市市场监督管理局成立绩效评价工作领导小组对2020年度南昌市市场监督管理局食品药品安全稽查工作项目开展绩效自评工作。现将评价情况报告如下：</w:t>
      </w:r>
    </w:p>
    <w:p>
      <w:pPr>
        <w:pStyle w:val="3"/>
        <w:spacing w:before="156" w:after="156"/>
      </w:pPr>
      <w:bookmarkStart w:id="3" w:name="_Toc510971194"/>
      <w:r>
        <w:rPr>
          <w:rFonts w:hint="eastAsia" w:eastAsia="仿宋"/>
        </w:rPr>
        <w:t>一、项目基本情况</w:t>
      </w:r>
      <w:bookmarkEnd w:id="3"/>
    </w:p>
    <w:p>
      <w:pPr>
        <w:pStyle w:val="4"/>
        <w:spacing w:line="360" w:lineRule="auto"/>
        <w:ind w:firstLine="643" w:firstLineChars="200"/>
        <w:rPr>
          <w:rFonts w:eastAsia="仿宋" w:asciiTheme="minorHAnsi" w:hAnsiTheme="minorHAnsi" w:cstheme="minorBidi"/>
          <w:sz w:val="32"/>
          <w:szCs w:val="24"/>
        </w:rPr>
      </w:pPr>
      <w:r>
        <w:rPr>
          <w:rFonts w:hint="eastAsia" w:eastAsia="仿宋" w:asciiTheme="minorHAnsi" w:hAnsiTheme="minorHAnsi" w:cstheme="minorBidi"/>
          <w:sz w:val="32"/>
          <w:szCs w:val="24"/>
        </w:rPr>
        <w:t>（一）项目概况</w:t>
      </w:r>
    </w:p>
    <w:p>
      <w:pPr>
        <w:pStyle w:val="4"/>
        <w:spacing w:line="360" w:lineRule="auto"/>
        <w:ind w:firstLine="643" w:firstLineChars="200"/>
      </w:pPr>
      <w:bookmarkStart w:id="4" w:name="_Toc510971195"/>
      <w:r>
        <w:rPr>
          <w:rFonts w:hint="eastAsia" w:ascii="仿宋_GB2312" w:hAnsi="仿宋_GB2312" w:eastAsia="仿宋_GB2312" w:cs="仿宋_GB2312"/>
          <w:bCs/>
          <w:sz w:val="32"/>
          <w:szCs w:val="32"/>
        </w:rPr>
        <w:t>1.</w:t>
      </w:r>
      <w:bookmarkEnd w:id="4"/>
      <w:r>
        <w:rPr>
          <w:rFonts w:hint="eastAsia" w:ascii="仿宋_GB2312" w:hAnsi="仿宋_GB2312" w:eastAsia="仿宋_GB2312" w:cs="仿宋_GB2312"/>
          <w:bCs/>
          <w:sz w:val="32"/>
          <w:szCs w:val="32"/>
        </w:rPr>
        <w:t>立项背景</w:t>
      </w:r>
    </w:p>
    <w:p>
      <w:pPr>
        <w:spacing w:line="360" w:lineRule="auto"/>
        <w:ind w:firstLine="640" w:firstLineChars="200"/>
        <w:rPr>
          <w:rFonts w:ascii="仿宋_GB2312" w:hAnsi="仿宋" w:eastAsia="仿宋_GB2312" w:cs="方正仿宋_GB2312"/>
          <w:color w:val="000000"/>
          <w:kern w:val="32"/>
          <w:sz w:val="32"/>
          <w:szCs w:val="32"/>
        </w:rPr>
      </w:pPr>
      <w:bookmarkStart w:id="5" w:name="_Toc510971197"/>
      <w:r>
        <w:rPr>
          <w:rFonts w:hint="eastAsia" w:ascii="仿宋_GB2312" w:hAnsi="仿宋" w:eastAsia="仿宋_GB2312" w:cs="方正仿宋_GB2312"/>
          <w:color w:val="000000"/>
          <w:kern w:val="32"/>
          <w:sz w:val="32"/>
          <w:szCs w:val="32"/>
        </w:rPr>
        <w:t>居民饮食用药的安全是最基本的民生问题，事关人民身体健康和生命安全。食品药品安全稽查工作对居民饮食用药安全起着至关重要的作用，是居民饮食用药安全的有力保障。南昌市市场监督管理局根据自身工作职责（三定方案）、《食品安全法》、《农产品质量安全法》、《行政处罚法》、《药品管理办法》、《医疗器械管理条例》、《化妆品卫生监督管理办法》、《疫苗管理法》等法律法规，设立本项目。</w:t>
      </w:r>
    </w:p>
    <w:bookmarkEnd w:id="5"/>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 xml:space="preserve"> 市食品药品稽查支队按照省委省政府、市委市政府以及市局的文件要求，对本市辖区内生产和流通领域中的食品药品进行监督检查，并对不合格抽检产品进行处罚，确保本市辖区内食品药品安全。</w:t>
      </w:r>
    </w:p>
    <w:p>
      <w:pPr>
        <w:pStyle w:val="4"/>
        <w:spacing w:line="360" w:lineRule="auto"/>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2.项目内容及主要情况</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1）项目内容：负责本市辖区内生产和流通领域中的食品药品进行监督检查并并对不合格抽检产品进行处罚；受理本市辖区内食品药品相关的投诉举报；宣传食品药品安全相关法律法规；省市级重大活动餐饮食品安全保障；对全市食品药品稽查执法人员进行专业技能培训；食品药品领域重大违法线索查处。</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（2）执行标准：以《食品安全法》、《农产品质量安全法》、《行政处罚法》、《药品管理办法》、《医疗器械管理条例》、《化妆品卫生监督管理办法》、《疫苗管理法》等法律法规为执行标准。</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（3）实施期限：2020年度完成本项目。</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4）主要情况：为加强南昌市市场监督管理局财务管理，严肃财经纪律，规范财务行为，节约费用支出，提高资金使用效率，进一步推进工作，有效提升单位工作效率，努力创建文明高效、一流业绩单位，南昌市市场监督管理局制定《南昌市市场监督管理局财务管理办法（试行）》、《南昌市市场监督管理局政府采购管理办法（试行）》、《南昌市市场监督管理局预算绩效管理办法（试行）》、《南昌市市场监督管理局办公室固定资产登记管理办法（试行）》等内部控制制度，该项目由南昌市市场监督管理局各科室负责具体实施，各科室根据市局年度计划和自身年度计划制定本年度工作目标。具体分工为：重大活动餐饮保障监督抽验、专项检查及不合格案件的立案调查和处罚工作由稽查一科、稽查二科、稽查三科、稽查四科、稽查五科、稽查六科及法规科共同负责实施；人员培训相关事宜及法律法规宣传由综合科负责实施；上述具体项目实施所需物品及经费均于实施前进行申报审批，其他经费等则由办公室负责审核后予以报销。</w:t>
      </w:r>
    </w:p>
    <w:p>
      <w:pPr>
        <w:pStyle w:val="4"/>
        <w:spacing w:line="360" w:lineRule="auto"/>
        <w:ind w:firstLine="643" w:firstLineChars="200"/>
        <w:rPr>
          <w:rFonts w:eastAsia="仿宋" w:asciiTheme="minorHAnsi" w:hAnsiTheme="minorHAnsi" w:cstheme="minorBidi"/>
          <w:sz w:val="28"/>
          <w:szCs w:val="22"/>
        </w:rPr>
      </w:pPr>
      <w:r>
        <w:rPr>
          <w:rFonts w:hint="eastAsia" w:ascii="仿宋_GB2312" w:hAnsi="仿宋_GB2312" w:eastAsia="仿宋_GB2312" w:cs="仿宋_GB2312"/>
          <w:bCs/>
          <w:sz w:val="32"/>
          <w:szCs w:val="32"/>
        </w:rPr>
        <w:t>3.资金投入和使用情况</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南昌市财政年初项目预算安排42.56万元，截止2020年12月31日，市财政已下拨42.56万元，本单位实际支出42.56万元。</w:t>
      </w:r>
    </w:p>
    <w:p>
      <w:pPr>
        <w:pStyle w:val="4"/>
        <w:spacing w:line="360" w:lineRule="auto"/>
        <w:ind w:firstLine="643" w:firstLineChars="200"/>
        <w:rPr>
          <w:rFonts w:eastAsia="仿宋" w:asciiTheme="minorHAnsi" w:hAnsiTheme="minorHAnsi" w:cstheme="minorBidi"/>
          <w:sz w:val="32"/>
          <w:szCs w:val="24"/>
        </w:rPr>
      </w:pPr>
      <w:bookmarkStart w:id="6" w:name="_Toc510971198"/>
      <w:r>
        <w:rPr>
          <w:rFonts w:hint="eastAsia" w:eastAsia="仿宋" w:asciiTheme="minorHAnsi" w:hAnsiTheme="minorHAnsi" w:cstheme="minorBidi"/>
          <w:sz w:val="32"/>
          <w:szCs w:val="24"/>
        </w:rPr>
        <w:t>（二）项目绩效目标</w:t>
      </w:r>
      <w:bookmarkEnd w:id="6"/>
    </w:p>
    <w:p>
      <w:pPr>
        <w:pStyle w:val="4"/>
        <w:ind w:firstLine="56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1.项目绩效总体目标</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根据省委省政府、市委市政府、市局主管部门的相关文件，制定并按要求完成各分项目目标。保障本市辖区内饮食用药安全，提高食品药品相关法律法规的知晓率。</w:t>
      </w:r>
    </w:p>
    <w:p>
      <w:pPr>
        <w:pStyle w:val="4"/>
        <w:ind w:firstLine="562"/>
        <w:rPr>
          <w:rFonts w:ascii="仿宋_GB2312" w:hAnsi="仿宋_GB2312" w:eastAsia="仿宋_GB2312" w:cs="仿宋_GB2312"/>
          <w:bCs/>
          <w:sz w:val="32"/>
          <w:szCs w:val="32"/>
        </w:rPr>
      </w:pPr>
      <w:bookmarkStart w:id="7" w:name="_Toc510971200"/>
      <w:r>
        <w:rPr>
          <w:rFonts w:hint="eastAsia" w:ascii="仿宋_GB2312" w:hAnsi="仿宋_GB2312" w:eastAsia="仿宋_GB2312" w:cs="仿宋_GB2312"/>
          <w:bCs/>
          <w:sz w:val="32"/>
          <w:szCs w:val="32"/>
        </w:rPr>
        <w:t>2.项目预期目标完成情况</w:t>
      </w:r>
      <w:bookmarkEnd w:id="7"/>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2020年，市食品药品稽查支队预期目标为：举办一次稽查技能专项培训，参训人次数不低于50人次；完成20起重大活动餐饮保障任务；预计查处不合格食品药品案件40起；宣传食品药品法律法规2次。</w:t>
      </w:r>
    </w:p>
    <w:p>
      <w:pPr>
        <w:pStyle w:val="3"/>
        <w:numPr>
          <w:ilvl w:val="0"/>
          <w:numId w:val="1"/>
        </w:numPr>
        <w:spacing w:before="156" w:after="156"/>
      </w:pPr>
      <w:bookmarkStart w:id="8" w:name="_Toc510971201"/>
      <w:r>
        <w:rPr>
          <w:rFonts w:hint="eastAsia" w:eastAsia="仿宋"/>
        </w:rPr>
        <w:t>绩效评价工作情况</w:t>
      </w:r>
      <w:bookmarkEnd w:id="8"/>
    </w:p>
    <w:p>
      <w:pPr>
        <w:pStyle w:val="4"/>
        <w:spacing w:line="360" w:lineRule="auto"/>
        <w:ind w:firstLine="643" w:firstLineChars="200"/>
        <w:rPr>
          <w:rFonts w:eastAsia="仿宋" w:asciiTheme="minorHAnsi" w:hAnsiTheme="minorHAnsi" w:cstheme="minorBidi"/>
          <w:sz w:val="32"/>
          <w:szCs w:val="24"/>
        </w:rPr>
      </w:pPr>
      <w:r>
        <w:rPr>
          <w:rFonts w:hint="eastAsia" w:eastAsia="仿宋" w:asciiTheme="minorHAnsi" w:hAnsiTheme="minorHAnsi" w:cstheme="minorBidi"/>
          <w:sz w:val="32"/>
          <w:szCs w:val="24"/>
        </w:rPr>
        <w:t>（一）绩效评价目的、</w:t>
      </w:r>
      <w:bookmarkStart w:id="9" w:name="_Toc510971202"/>
      <w:r>
        <w:rPr>
          <w:rFonts w:hint="eastAsia" w:eastAsia="仿宋" w:asciiTheme="minorHAnsi" w:hAnsiTheme="minorHAnsi" w:cstheme="minorBidi"/>
          <w:sz w:val="32"/>
          <w:szCs w:val="24"/>
        </w:rPr>
        <w:t>对象和范围</w:t>
      </w:r>
    </w:p>
    <w:p>
      <w:pPr>
        <w:pStyle w:val="4"/>
        <w:ind w:firstLine="56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1.绩效评价目的</w:t>
      </w:r>
      <w:bookmarkEnd w:id="9"/>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①了解各项目资金的使用情况、项目成效及社会效益等信息；</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②发现和找出资金使用中或项目管理中的不足和问题，并进行深入研究和分析；</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③针对绩效评价中发现的项目中存在的不足和问题，提出有针对性和可行性的改进建议，为改善后续工作提供有效借鉴，以促进资金使用效率的提高和项目效益的增强。</w:t>
      </w:r>
    </w:p>
    <w:p>
      <w:pPr>
        <w:pStyle w:val="4"/>
        <w:ind w:firstLine="562"/>
        <w:rPr>
          <w:rFonts w:ascii="仿宋_GB2312" w:hAnsi="仿宋_GB2312" w:eastAsia="仿宋_GB2312" w:cs="仿宋_GB2312"/>
          <w:bCs/>
          <w:sz w:val="32"/>
          <w:szCs w:val="32"/>
        </w:rPr>
      </w:pPr>
      <w:bookmarkStart w:id="10" w:name="_Toc510971203"/>
      <w:r>
        <w:rPr>
          <w:rFonts w:hint="eastAsia" w:ascii="仿宋_GB2312" w:hAnsi="仿宋_GB2312" w:eastAsia="仿宋_GB2312" w:cs="仿宋_GB2312"/>
          <w:bCs/>
          <w:sz w:val="32"/>
          <w:szCs w:val="32"/>
        </w:rPr>
        <w:t>2.评价对象</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此次绩效项目评价的对象为南昌市市场监督管理局2020年度食品药品稽查工作预算资金</w:t>
      </w:r>
    </w:p>
    <w:p>
      <w:pPr>
        <w:pStyle w:val="4"/>
        <w:ind w:firstLine="56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3.评价范围</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评价范围：南昌市食品药品稽查支队2020年度预算资金使用情况及取得效果</w:t>
      </w:r>
    </w:p>
    <w:p>
      <w:pPr>
        <w:pStyle w:val="4"/>
        <w:rPr>
          <w:rFonts w:eastAsia="仿宋" w:asciiTheme="minorHAnsi" w:hAnsiTheme="minorHAnsi" w:cstheme="minorBidi"/>
          <w:sz w:val="28"/>
          <w:szCs w:val="22"/>
        </w:rPr>
      </w:pPr>
      <w:r>
        <w:rPr>
          <w:rFonts w:hint="eastAsia" w:eastAsia="仿宋" w:asciiTheme="minorHAnsi" w:hAnsiTheme="minorHAnsi" w:cstheme="minorBidi"/>
          <w:sz w:val="32"/>
          <w:szCs w:val="24"/>
        </w:rPr>
        <w:t>（二）绩效评价原则、指标体系、评价方法、标准</w:t>
      </w:r>
    </w:p>
    <w:p>
      <w:pPr>
        <w:pStyle w:val="4"/>
        <w:ind w:firstLine="562"/>
        <w:rPr>
          <w:rFonts w:eastAsia="仿宋" w:asciiTheme="minorHAnsi" w:hAnsiTheme="minorHAnsi" w:cstheme="minorBidi"/>
          <w:sz w:val="28"/>
          <w:szCs w:val="22"/>
        </w:rPr>
      </w:pPr>
      <w:r>
        <w:rPr>
          <w:rFonts w:hint="eastAsia" w:ascii="仿宋_GB2312" w:hAnsi="仿宋_GB2312" w:eastAsia="仿宋_GB2312" w:cs="仿宋_GB2312"/>
          <w:bCs/>
          <w:sz w:val="32"/>
          <w:szCs w:val="32"/>
        </w:rPr>
        <w:t>1.绩效评价原则</w:t>
      </w:r>
      <w:bookmarkEnd w:id="10"/>
      <w:bookmarkStart w:id="11" w:name="_Toc510971204"/>
    </w:p>
    <w:bookmarkEnd w:id="11"/>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绩效评价应当遵循以下基本原则：</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（1）科学规范。绩效评价注重财政支出的经济性、效率性和有效性，严格执行规定的程序，采用定量与定性分析相结合的方法。</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（2）公正公开。绩效评价客观、公正，标准统一、资料可靠，依法公开并接受监督。</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（3）分级分类。绩效评价由各级财政部门、部门（单位）根据评价对象的特点，分类组织实施。</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（4）绩效相关。绩效评价针对具体支出及其产出绩效进行，评价结果清晰反映支出和产出绩效之间的紧密对应关系。</w:t>
      </w:r>
    </w:p>
    <w:p>
      <w:pPr>
        <w:pStyle w:val="4"/>
        <w:ind w:firstLine="562"/>
      </w:pPr>
      <w:bookmarkStart w:id="12" w:name="_Toc510971206"/>
      <w:r>
        <w:rPr>
          <w:rFonts w:hint="eastAsia" w:ascii="仿宋_GB2312" w:hAnsi="仿宋_GB2312" w:eastAsia="仿宋_GB2312" w:cs="仿宋_GB2312"/>
          <w:bCs/>
          <w:sz w:val="32"/>
          <w:szCs w:val="32"/>
        </w:rPr>
        <w:t>2.绩效评价指标体系</w:t>
      </w:r>
      <w:bookmarkEnd w:id="12"/>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根据财政部《预算绩效评价共性指标体系框架》等文件精神，确定本次绩效评价指标的整体框架，结合财政绩效评价的要求和评价目的，构建本次绩效评价的整体框架。包括项目决策指标（项目立项、绩效目标、资金落实），过程指标（资金管理、组织实施），项目产出（产出数量指标、产出质量指标、产出时效指标、产出成本指标），产出效果（经济效益指标、社会效益指标、生态效益指标、可持续影响指标），项目满意度（社会公众或服务对象满意度），结合项目实际情况，确定本次绩效评价指标体系的个性指标，并通过与相关各方的协商最终确定全部指标内容。指标数据来源于法规与政府文件、基础数据采集、问卷调查、访谈等。具体详见《项目绩效评分表》。</w:t>
      </w:r>
    </w:p>
    <w:p>
      <w:pPr>
        <w:jc w:val="center"/>
        <w:rPr>
          <w:b/>
          <w:bCs/>
          <w:sz w:val="32"/>
          <w:szCs w:val="24"/>
        </w:rPr>
      </w:pPr>
    </w:p>
    <w:p>
      <w:pPr>
        <w:jc w:val="center"/>
      </w:pPr>
      <w:r>
        <w:rPr>
          <w:rFonts w:hint="eastAsia"/>
          <w:b/>
          <w:bCs/>
          <w:sz w:val="32"/>
          <w:szCs w:val="24"/>
        </w:rPr>
        <w:t>项目支出绩效评分表</w:t>
      </w:r>
    </w:p>
    <w:tbl>
      <w:tblPr>
        <w:tblStyle w:val="7"/>
        <w:tblW w:w="47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1311"/>
        <w:gridCol w:w="2062"/>
        <w:gridCol w:w="1425"/>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791" w:type="pct"/>
            <w:shd w:val="clear" w:color="auto" w:fill="FFFFFF"/>
            <w:vAlign w:val="center"/>
          </w:tcPr>
          <w:p>
            <w:pPr>
              <w:widowControl/>
              <w:jc w:val="center"/>
              <w:rPr>
                <w:rFonts w:ascii="黑体" w:hAnsi="黑体" w:eastAsia="黑体" w:cs="宋体"/>
                <w:bCs/>
                <w:color w:val="000000"/>
                <w:kern w:val="0"/>
                <w:szCs w:val="16"/>
              </w:rPr>
            </w:pPr>
            <w:bookmarkStart w:id="13" w:name="_Toc510971207"/>
            <w:r>
              <w:rPr>
                <w:rFonts w:hint="eastAsia" w:ascii="黑体" w:hAnsi="黑体" w:eastAsia="黑体" w:cs="宋体"/>
                <w:bCs/>
                <w:color w:val="000000"/>
                <w:kern w:val="0"/>
                <w:szCs w:val="16"/>
              </w:rPr>
              <w:t>一级指标</w:t>
            </w:r>
          </w:p>
        </w:tc>
        <w:tc>
          <w:tcPr>
            <w:tcW w:w="807" w:type="pct"/>
            <w:shd w:val="clear" w:color="auto" w:fill="FFFFFF"/>
            <w:vAlign w:val="center"/>
          </w:tcPr>
          <w:p>
            <w:pPr>
              <w:widowControl/>
              <w:jc w:val="center"/>
              <w:rPr>
                <w:rFonts w:ascii="黑体" w:hAnsi="黑体" w:eastAsia="黑体" w:cs="宋体"/>
                <w:bCs/>
                <w:color w:val="000000"/>
                <w:kern w:val="0"/>
                <w:szCs w:val="16"/>
              </w:rPr>
            </w:pPr>
            <w:r>
              <w:rPr>
                <w:rFonts w:hint="eastAsia" w:ascii="黑体" w:hAnsi="黑体" w:eastAsia="黑体" w:cs="宋体"/>
                <w:bCs/>
                <w:color w:val="000000"/>
                <w:kern w:val="0"/>
                <w:szCs w:val="16"/>
              </w:rPr>
              <w:t>二级指标</w:t>
            </w:r>
          </w:p>
        </w:tc>
        <w:tc>
          <w:tcPr>
            <w:tcW w:w="1269" w:type="pct"/>
            <w:shd w:val="clear" w:color="auto" w:fill="FFFFFF"/>
            <w:vAlign w:val="center"/>
          </w:tcPr>
          <w:p>
            <w:pPr>
              <w:widowControl/>
              <w:jc w:val="center"/>
              <w:rPr>
                <w:rFonts w:ascii="黑体" w:hAnsi="黑体" w:eastAsia="黑体" w:cs="宋体"/>
                <w:bCs/>
                <w:color w:val="000000"/>
                <w:kern w:val="0"/>
                <w:szCs w:val="16"/>
              </w:rPr>
            </w:pPr>
            <w:r>
              <w:rPr>
                <w:rFonts w:hint="eastAsia" w:ascii="黑体" w:hAnsi="黑体" w:eastAsia="黑体" w:cs="宋体"/>
                <w:bCs/>
                <w:color w:val="000000"/>
                <w:kern w:val="0"/>
                <w:szCs w:val="16"/>
              </w:rPr>
              <w:t>三级指标</w:t>
            </w:r>
          </w:p>
        </w:tc>
        <w:tc>
          <w:tcPr>
            <w:tcW w:w="877" w:type="pct"/>
            <w:shd w:val="clear" w:color="auto" w:fill="FFFFFF"/>
            <w:vAlign w:val="center"/>
          </w:tcPr>
          <w:p>
            <w:pPr>
              <w:widowControl/>
              <w:jc w:val="center"/>
              <w:rPr>
                <w:rFonts w:ascii="黑体" w:hAnsi="黑体" w:eastAsia="黑体" w:cs="宋体"/>
                <w:bCs/>
                <w:color w:val="000000"/>
                <w:kern w:val="0"/>
                <w:szCs w:val="16"/>
              </w:rPr>
            </w:pPr>
            <w:r>
              <w:rPr>
                <w:rFonts w:hint="eastAsia" w:ascii="黑体" w:hAnsi="黑体" w:eastAsia="黑体" w:cs="宋体"/>
                <w:bCs/>
                <w:color w:val="000000"/>
                <w:kern w:val="0"/>
                <w:szCs w:val="16"/>
              </w:rPr>
              <w:t>分值权重</w:t>
            </w:r>
          </w:p>
        </w:tc>
        <w:tc>
          <w:tcPr>
            <w:tcW w:w="1254" w:type="pct"/>
            <w:shd w:val="clear" w:color="auto" w:fill="FFFFFF"/>
            <w:vAlign w:val="center"/>
          </w:tcPr>
          <w:p>
            <w:pPr>
              <w:widowControl/>
              <w:jc w:val="center"/>
              <w:rPr>
                <w:rFonts w:ascii="黑体" w:hAnsi="黑体" w:eastAsia="黑体" w:cs="宋体"/>
                <w:bCs/>
                <w:color w:val="000000"/>
                <w:kern w:val="0"/>
                <w:szCs w:val="16"/>
              </w:rPr>
            </w:pPr>
            <w:r>
              <w:rPr>
                <w:rFonts w:hint="eastAsia" w:ascii="黑体" w:hAnsi="黑体" w:eastAsia="黑体" w:cs="宋体"/>
                <w:bCs/>
                <w:color w:val="000000"/>
                <w:kern w:val="0"/>
                <w:szCs w:val="16"/>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91"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决策</w:t>
            </w:r>
          </w:p>
          <w:p>
            <w:pPr>
              <w:widowControl/>
              <w:spacing w:line="240" w:lineRule="exact"/>
              <w:jc w:val="center"/>
              <w:rPr>
                <w:rFonts w:ascii="方正书宋简体" w:hAnsi="黑体" w:eastAsia="方正书宋简体" w:cs="宋体"/>
                <w:color w:val="000000"/>
                <w:kern w:val="0"/>
                <w:szCs w:val="16"/>
              </w:rPr>
            </w:pPr>
          </w:p>
          <w:p>
            <w:pPr>
              <w:spacing w:line="240" w:lineRule="exact"/>
              <w:jc w:val="center"/>
              <w:rPr>
                <w:rFonts w:ascii="方正书宋简体" w:hAnsi="黑体" w:eastAsia="方正书宋简体" w:cs="宋体"/>
                <w:color w:val="000000"/>
                <w:kern w:val="0"/>
                <w:szCs w:val="16"/>
              </w:rPr>
            </w:pPr>
          </w:p>
        </w:tc>
        <w:tc>
          <w:tcPr>
            <w:tcW w:w="807"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项目立项</w:t>
            </w: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立项依据充分性</w:t>
            </w:r>
          </w:p>
        </w:tc>
        <w:tc>
          <w:tcPr>
            <w:tcW w:w="87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254"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项目立项是否有依据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91" w:type="pct"/>
            <w:vMerge w:val="continue"/>
            <w:shd w:val="clear" w:color="auto" w:fill="FFFFFF"/>
            <w:vAlign w:val="center"/>
          </w:tcPr>
          <w:p>
            <w:pPr>
              <w:spacing w:line="240" w:lineRule="exact"/>
              <w:jc w:val="center"/>
              <w:rPr>
                <w:rFonts w:ascii="方正书宋简体" w:hAnsi="黑体" w:eastAsia="方正书宋简体" w:cs="宋体"/>
                <w:color w:val="000000"/>
                <w:kern w:val="0"/>
                <w:szCs w:val="16"/>
              </w:rPr>
            </w:pPr>
          </w:p>
        </w:tc>
        <w:tc>
          <w:tcPr>
            <w:tcW w:w="8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立项程序规范性</w:t>
            </w:r>
          </w:p>
        </w:tc>
        <w:tc>
          <w:tcPr>
            <w:tcW w:w="1425" w:type="dxa"/>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254"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立项过程是否规范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spacing w:line="240" w:lineRule="exact"/>
              <w:jc w:val="center"/>
              <w:rPr>
                <w:rFonts w:ascii="方正书宋简体" w:hAnsi="黑体" w:eastAsia="方正书宋简体" w:cs="宋体"/>
                <w:color w:val="000000"/>
                <w:kern w:val="0"/>
                <w:szCs w:val="16"/>
              </w:rPr>
            </w:pPr>
          </w:p>
        </w:tc>
        <w:tc>
          <w:tcPr>
            <w:tcW w:w="80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绩效目标</w:t>
            </w: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绩效目标合理性</w:t>
            </w:r>
          </w:p>
        </w:tc>
        <w:tc>
          <w:tcPr>
            <w:tcW w:w="1425" w:type="dxa"/>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254"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目标确定是否合理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绩效目标</w:t>
            </w: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绩效指标明确性</w:t>
            </w:r>
          </w:p>
        </w:tc>
        <w:tc>
          <w:tcPr>
            <w:tcW w:w="1425" w:type="dxa"/>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254"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指标设置是否明确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spacing w:line="240" w:lineRule="exact"/>
              <w:jc w:val="center"/>
              <w:rPr>
                <w:rFonts w:ascii="方正书宋简体" w:hAnsi="黑体" w:eastAsia="方正书宋简体" w:cs="宋体"/>
                <w:color w:val="000000"/>
                <w:kern w:val="0"/>
                <w:szCs w:val="16"/>
              </w:rPr>
            </w:pPr>
          </w:p>
        </w:tc>
        <w:tc>
          <w:tcPr>
            <w:tcW w:w="807"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资金投入</w:t>
            </w:r>
          </w:p>
          <w:p>
            <w:pPr>
              <w:widowControl/>
              <w:spacing w:line="240" w:lineRule="exact"/>
              <w:jc w:val="center"/>
              <w:rPr>
                <w:rFonts w:ascii="方正书宋简体" w:hAnsi="黑体" w:eastAsia="方正书宋简体" w:cs="宋体"/>
                <w:color w:val="000000"/>
                <w:kern w:val="0"/>
                <w:szCs w:val="16"/>
              </w:rPr>
            </w:pP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预算编制科学性</w:t>
            </w:r>
          </w:p>
        </w:tc>
        <w:tc>
          <w:tcPr>
            <w:tcW w:w="87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2</w:t>
            </w:r>
            <w:r>
              <w:rPr>
                <w:rFonts w:hint="eastAsia" w:ascii="方正书宋简体" w:hAnsi="黑体" w:eastAsia="方正书宋简体" w:cs="宋体"/>
                <w:color w:val="000000"/>
                <w:kern w:val="0"/>
                <w:szCs w:val="16"/>
              </w:rPr>
              <w:t>%</w:t>
            </w:r>
          </w:p>
        </w:tc>
        <w:tc>
          <w:tcPr>
            <w:tcW w:w="1254"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项目编制是否科学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资金分配合理性</w:t>
            </w:r>
          </w:p>
        </w:tc>
        <w:tc>
          <w:tcPr>
            <w:tcW w:w="87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1%</w:t>
            </w:r>
          </w:p>
        </w:tc>
        <w:tc>
          <w:tcPr>
            <w:tcW w:w="1254"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项目资金分配是否合理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restart"/>
            <w:shd w:val="clear" w:color="auto" w:fill="FFFFFF"/>
            <w:vAlign w:val="center"/>
          </w:tcPr>
          <w:p>
            <w:pPr>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过程</w:t>
            </w:r>
          </w:p>
          <w:p>
            <w:pPr>
              <w:widowControl/>
              <w:spacing w:line="240" w:lineRule="exact"/>
              <w:jc w:val="center"/>
              <w:rPr>
                <w:rFonts w:ascii="方正书宋简体" w:hAnsi="黑体" w:eastAsia="方正书宋简体" w:cs="宋体"/>
                <w:color w:val="000000"/>
                <w:kern w:val="0"/>
                <w:szCs w:val="16"/>
              </w:rPr>
            </w:pPr>
          </w:p>
        </w:tc>
        <w:tc>
          <w:tcPr>
            <w:tcW w:w="807"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资金管理</w:t>
            </w: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资金到位率</w:t>
            </w:r>
          </w:p>
        </w:tc>
        <w:tc>
          <w:tcPr>
            <w:tcW w:w="877"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254"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实际拨付金额/预算金额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spacing w:line="240" w:lineRule="exact"/>
              <w:jc w:val="center"/>
              <w:rPr>
                <w:rFonts w:ascii="方正书宋简体" w:hAnsi="黑体" w:eastAsia="方正书宋简体" w:cs="宋体"/>
                <w:color w:val="000000"/>
                <w:kern w:val="0"/>
                <w:szCs w:val="16"/>
              </w:rPr>
            </w:pPr>
          </w:p>
        </w:tc>
        <w:tc>
          <w:tcPr>
            <w:tcW w:w="8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预算执行率</w:t>
            </w:r>
          </w:p>
        </w:tc>
        <w:tc>
          <w:tcPr>
            <w:tcW w:w="1425" w:type="dxa"/>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254"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实际支付金额/实际拨付金额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spacing w:line="240" w:lineRule="exact"/>
              <w:jc w:val="center"/>
              <w:rPr>
                <w:rFonts w:ascii="方正书宋简体" w:hAnsi="黑体" w:eastAsia="方正书宋简体" w:cs="宋体"/>
                <w:color w:val="000000"/>
                <w:kern w:val="0"/>
                <w:szCs w:val="16"/>
              </w:rPr>
            </w:pPr>
          </w:p>
        </w:tc>
        <w:tc>
          <w:tcPr>
            <w:tcW w:w="80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资金管理</w:t>
            </w: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资金使用</w:t>
            </w:r>
          </w:p>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合规性</w:t>
            </w:r>
          </w:p>
        </w:tc>
        <w:tc>
          <w:tcPr>
            <w:tcW w:w="1425" w:type="dxa"/>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254"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资金支付是否经过审批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spacing w:line="240" w:lineRule="exact"/>
              <w:jc w:val="center"/>
              <w:rPr>
                <w:rFonts w:ascii="方正书宋简体" w:hAnsi="黑体" w:eastAsia="方正书宋简体" w:cs="宋体"/>
                <w:color w:val="000000"/>
                <w:kern w:val="0"/>
                <w:szCs w:val="16"/>
              </w:rPr>
            </w:pPr>
          </w:p>
        </w:tc>
        <w:tc>
          <w:tcPr>
            <w:tcW w:w="807"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组织实施</w:t>
            </w:r>
          </w:p>
          <w:p>
            <w:pPr>
              <w:widowControl/>
              <w:spacing w:line="240" w:lineRule="exact"/>
              <w:jc w:val="center"/>
              <w:rPr>
                <w:rFonts w:ascii="方正书宋简体" w:hAnsi="黑体" w:eastAsia="方正书宋简体" w:cs="宋体"/>
                <w:color w:val="000000"/>
                <w:kern w:val="0"/>
                <w:szCs w:val="16"/>
              </w:rPr>
            </w:pP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管理制度</w:t>
            </w:r>
          </w:p>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健全性</w:t>
            </w:r>
          </w:p>
        </w:tc>
        <w:tc>
          <w:tcPr>
            <w:tcW w:w="1425" w:type="dxa"/>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254"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是否建立相关制度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制度执行</w:t>
            </w:r>
          </w:p>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有效性</w:t>
            </w:r>
          </w:p>
        </w:tc>
        <w:tc>
          <w:tcPr>
            <w:tcW w:w="1425" w:type="dxa"/>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254"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是否执行相关制度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产出</w:t>
            </w:r>
          </w:p>
        </w:tc>
        <w:tc>
          <w:tcPr>
            <w:tcW w:w="807"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产出数量</w:t>
            </w: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执法稽查人员培训50人次</w:t>
            </w:r>
          </w:p>
        </w:tc>
        <w:tc>
          <w:tcPr>
            <w:tcW w:w="877"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254"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实际完成数/计划完成数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食品药品法律法规宣传2次</w:t>
            </w:r>
          </w:p>
        </w:tc>
        <w:tc>
          <w:tcPr>
            <w:tcW w:w="1425" w:type="dxa"/>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254"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实际完成数/计划完成数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不合格食品药品核查处置40起</w:t>
            </w:r>
          </w:p>
        </w:tc>
        <w:tc>
          <w:tcPr>
            <w:tcW w:w="1425" w:type="dxa"/>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254"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实际完成数/计划完成数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重大活动餐饮保障任务20起</w:t>
            </w:r>
          </w:p>
        </w:tc>
        <w:tc>
          <w:tcPr>
            <w:tcW w:w="1425" w:type="dxa"/>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254"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实际完成数/计划完成数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产出质量</w:t>
            </w: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执法稽查人员培训对课程内容满意度100%</w:t>
            </w:r>
          </w:p>
        </w:tc>
        <w:tc>
          <w:tcPr>
            <w:tcW w:w="1425" w:type="dxa"/>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254"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参训人员对课程满意人数/参训人数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宣传法律法规覆盖程度达90%</w:t>
            </w:r>
          </w:p>
        </w:tc>
        <w:tc>
          <w:tcPr>
            <w:tcW w:w="1425" w:type="dxa"/>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254"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宣传内容覆盖程度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不合格食品药品核查处置率95%</w:t>
            </w:r>
          </w:p>
        </w:tc>
        <w:tc>
          <w:tcPr>
            <w:tcW w:w="1425" w:type="dxa"/>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254"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实际查处数/抽检不合格数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重大活动餐饮保障任务完成率100%</w:t>
            </w:r>
          </w:p>
        </w:tc>
        <w:tc>
          <w:tcPr>
            <w:tcW w:w="1425" w:type="dxa"/>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254"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实际完成数/接收任务数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spacing w:line="240" w:lineRule="exact"/>
              <w:jc w:val="center"/>
              <w:rPr>
                <w:rFonts w:ascii="方正书宋简体" w:hAnsi="黑体" w:eastAsia="方正书宋简体" w:cs="宋体"/>
                <w:color w:val="000000"/>
                <w:kern w:val="0"/>
                <w:szCs w:val="16"/>
              </w:rPr>
            </w:pPr>
          </w:p>
        </w:tc>
        <w:tc>
          <w:tcPr>
            <w:tcW w:w="80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产出时效</w:t>
            </w: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2020年年末完成</w:t>
            </w:r>
          </w:p>
        </w:tc>
        <w:tc>
          <w:tcPr>
            <w:tcW w:w="1425" w:type="dxa"/>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254"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完成时间是否早于年末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产出成本</w:t>
            </w: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费用上下浮动5%</w:t>
            </w:r>
          </w:p>
        </w:tc>
        <w:tc>
          <w:tcPr>
            <w:tcW w:w="1425" w:type="dxa"/>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254"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实际支付数/预算拨付数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效益</w:t>
            </w:r>
          </w:p>
        </w:tc>
        <w:tc>
          <w:tcPr>
            <w:tcW w:w="80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经济效益</w:t>
            </w: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7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254"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社会效益</w:t>
            </w: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食品药品法律法规覆盖度95%</w:t>
            </w:r>
          </w:p>
        </w:tc>
        <w:tc>
          <w:tcPr>
            <w:tcW w:w="87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4%</w:t>
            </w:r>
          </w:p>
        </w:tc>
        <w:tc>
          <w:tcPr>
            <w:tcW w:w="1254"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法律法规宣传区域覆盖程度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重大食品药品安全事故0起</w:t>
            </w:r>
          </w:p>
        </w:tc>
        <w:tc>
          <w:tcPr>
            <w:tcW w:w="87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4%</w:t>
            </w:r>
          </w:p>
        </w:tc>
        <w:tc>
          <w:tcPr>
            <w:tcW w:w="1254"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是否出现食品药品安全事故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生态效益</w:t>
            </w: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7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254"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可持续效益</w:t>
            </w: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执法稽查人员考试通过率95%</w:t>
            </w:r>
          </w:p>
        </w:tc>
        <w:tc>
          <w:tcPr>
            <w:tcW w:w="87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4%</w:t>
            </w:r>
          </w:p>
        </w:tc>
        <w:tc>
          <w:tcPr>
            <w:tcW w:w="1254"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参训人员考核合格人数/参训人数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重大活动餐饮安全事故0起</w:t>
            </w:r>
          </w:p>
        </w:tc>
        <w:tc>
          <w:tcPr>
            <w:tcW w:w="87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4%</w:t>
            </w:r>
          </w:p>
        </w:tc>
        <w:tc>
          <w:tcPr>
            <w:tcW w:w="1254"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是否出现食品药品安全事故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269"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食品药品法律法规知晓率95%</w:t>
            </w:r>
          </w:p>
        </w:tc>
        <w:tc>
          <w:tcPr>
            <w:tcW w:w="87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4%</w:t>
            </w:r>
          </w:p>
        </w:tc>
        <w:tc>
          <w:tcPr>
            <w:tcW w:w="1254"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知晓法律法规程度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满意度</w:t>
            </w:r>
          </w:p>
        </w:tc>
        <w:tc>
          <w:tcPr>
            <w:tcW w:w="807"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社会公众或服务对象满意度</w:t>
            </w:r>
          </w:p>
        </w:tc>
        <w:tc>
          <w:tcPr>
            <w:tcW w:w="1269" w:type="pct"/>
            <w:shd w:val="clear" w:color="auto" w:fill="FFFFFF"/>
            <w:vAlign w:val="center"/>
          </w:tcPr>
          <w:p>
            <w:pPr>
              <w:widowControl/>
              <w:spacing w:line="240" w:lineRule="exact"/>
              <w:jc w:val="center"/>
              <w:rPr>
                <w:rFonts w:hint="default" w:ascii="方正书宋简体" w:hAnsi="黑体" w:eastAsia="方正书宋简体" w:cs="宋体"/>
                <w:color w:val="000000"/>
                <w:kern w:val="0"/>
                <w:szCs w:val="16"/>
                <w:lang w:val="en-US" w:eastAsia="zh-CN"/>
              </w:rPr>
            </w:pPr>
            <w:r>
              <w:rPr>
                <w:rFonts w:hint="eastAsia" w:ascii="方正书宋简体" w:hAnsi="黑体" w:eastAsia="方正书宋简体" w:cs="宋体"/>
                <w:color w:val="000000"/>
                <w:kern w:val="0"/>
                <w:szCs w:val="16"/>
              </w:rPr>
              <w:t>人民群众满意度</w:t>
            </w:r>
            <w:r>
              <w:rPr>
                <w:rFonts w:hint="eastAsia" w:ascii="方正书宋简体" w:hAnsi="黑体" w:eastAsia="方正书宋简体" w:cs="宋体"/>
                <w:color w:val="000000"/>
                <w:kern w:val="0"/>
                <w:szCs w:val="16"/>
                <w:lang w:val="en-US" w:eastAsia="zh-CN"/>
              </w:rPr>
              <w:t>达到90%</w:t>
            </w:r>
          </w:p>
        </w:tc>
        <w:tc>
          <w:tcPr>
            <w:tcW w:w="87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5%</w:t>
            </w:r>
          </w:p>
        </w:tc>
        <w:tc>
          <w:tcPr>
            <w:tcW w:w="1254"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人民群众满意程度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91"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8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269" w:type="pct"/>
            <w:shd w:val="clear" w:color="auto" w:fill="FFFFFF"/>
            <w:vAlign w:val="center"/>
          </w:tcPr>
          <w:p>
            <w:pPr>
              <w:widowControl/>
              <w:spacing w:line="240" w:lineRule="exact"/>
              <w:jc w:val="center"/>
              <w:rPr>
                <w:rFonts w:hint="default" w:ascii="方正书宋简体" w:hAnsi="黑体" w:eastAsia="方正书宋简体" w:cs="宋体"/>
                <w:color w:val="000000"/>
                <w:kern w:val="0"/>
                <w:szCs w:val="16"/>
                <w:lang w:val="en-US" w:eastAsia="zh-CN"/>
              </w:rPr>
            </w:pPr>
            <w:r>
              <w:rPr>
                <w:rFonts w:hint="eastAsia" w:ascii="方正书宋简体" w:hAnsi="黑体" w:eastAsia="方正书宋简体" w:cs="宋体"/>
                <w:color w:val="000000"/>
                <w:kern w:val="0"/>
                <w:szCs w:val="16"/>
              </w:rPr>
              <w:t>上级部门满意度</w:t>
            </w:r>
            <w:r>
              <w:rPr>
                <w:rFonts w:hint="eastAsia" w:ascii="方正书宋简体" w:hAnsi="黑体" w:eastAsia="方正书宋简体" w:cs="宋体"/>
                <w:color w:val="000000"/>
                <w:kern w:val="0"/>
                <w:szCs w:val="16"/>
                <w:lang w:val="en-US" w:eastAsia="zh-CN"/>
              </w:rPr>
              <w:t>达到90%</w:t>
            </w:r>
          </w:p>
        </w:tc>
        <w:tc>
          <w:tcPr>
            <w:tcW w:w="87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5%</w:t>
            </w:r>
          </w:p>
        </w:tc>
        <w:tc>
          <w:tcPr>
            <w:tcW w:w="1254"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上级部门满意程度</w:t>
            </w:r>
          </w:p>
        </w:tc>
      </w:tr>
    </w:tbl>
    <w:p>
      <w:pPr>
        <w:pStyle w:val="4"/>
        <w:ind w:firstLine="56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3.绩效评价方法</w:t>
      </w:r>
      <w:bookmarkEnd w:id="13"/>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相关方的负责人进行，用以从整体、流程上把握项目的基本情况；财务核查则是通过专业财务人员通过查看项目相关财务凭证，掌握2020年度南昌市食品药品稽查支队食品药品安全稽查工作的使用情况；实地调研则是通过研究员调查实地情况，了解2020年度南昌市食品药品稽查支队食品药品安全稽查工作的产出和效果；问卷调查则是对2020年度南昌市食品药品稽查支队局食品药品安全稽查工作的相关受益群体进行，了解其对2020年度南昌市食品药品稽查支队食品药品安全稽查工作实施的真实看法及满意状况。</w:t>
      </w:r>
    </w:p>
    <w:p>
      <w:pPr>
        <w:pStyle w:val="4"/>
        <w:ind w:firstLine="562"/>
        <w:rPr>
          <w:rFonts w:eastAsia="仿宋" w:asciiTheme="minorHAnsi" w:hAnsiTheme="minorHAnsi" w:cstheme="minorBidi"/>
          <w:sz w:val="28"/>
          <w:szCs w:val="22"/>
        </w:rPr>
      </w:pPr>
      <w:bookmarkStart w:id="14" w:name="_Toc510971205"/>
      <w:r>
        <w:rPr>
          <w:rFonts w:hint="eastAsia" w:ascii="仿宋_GB2312" w:hAnsi="仿宋_GB2312" w:eastAsia="仿宋_GB2312" w:cs="仿宋_GB2312"/>
          <w:bCs/>
          <w:sz w:val="32"/>
          <w:szCs w:val="32"/>
        </w:rPr>
        <w:t>4.绩效评价</w:t>
      </w:r>
      <w:bookmarkEnd w:id="14"/>
      <w:r>
        <w:rPr>
          <w:rFonts w:hint="eastAsia" w:ascii="仿宋_GB2312" w:hAnsi="仿宋_GB2312" w:eastAsia="仿宋_GB2312" w:cs="仿宋_GB2312"/>
          <w:bCs/>
          <w:sz w:val="32"/>
          <w:szCs w:val="32"/>
        </w:rPr>
        <w:t>标准</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（1）《财政部关于印发&lt;预算绩效评价共性指标体系框架&gt;的通知》（财预[2013]53号）；</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（2）《江西省人民政府关于全面推进预算绩效管理的实施意见》（赣府发[2013]8号）；</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（3）《南昌市人民政府关于印发&lt;南昌市财政支出绩效评价管理办法（试行）&gt;的通知》（洪府发[2014]8号）；</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（4）《南昌市财政局关于开展2020年度市级部门财政项目支出绩效评价工作的通知》（洪财办[2021]7号）；</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（5）《食品安全法》、《农产品质量安全法》、《行政处罚法》、《药品管理办法》、《医疗器械管理条例》、《化妆品卫生监督管理办法》、《疫苗管理法》等食品药品安全法律法规。</w:t>
      </w:r>
    </w:p>
    <w:p>
      <w:pPr>
        <w:pStyle w:val="4"/>
        <w:ind w:firstLine="562"/>
      </w:pPr>
      <w:bookmarkStart w:id="15" w:name="_Toc510971208"/>
      <w:r>
        <w:rPr>
          <w:rFonts w:hint="eastAsia" w:eastAsia="仿宋" w:asciiTheme="minorHAnsi" w:hAnsiTheme="minorHAnsi" w:cstheme="minorBidi"/>
          <w:sz w:val="32"/>
          <w:szCs w:val="24"/>
        </w:rPr>
        <w:t>（三）绩效评价工作过程</w:t>
      </w:r>
      <w:bookmarkEnd w:id="15"/>
    </w:p>
    <w:p>
      <w:pPr>
        <w:spacing w:line="360" w:lineRule="auto"/>
        <w:ind w:firstLine="643" w:firstLineChars="200"/>
        <w:rPr>
          <w:rFonts w:ascii="仿宋" w:hAnsi="仿宋" w:eastAsia="仿宋" w:cs="仿宋_GB2312"/>
          <w:sz w:val="32"/>
          <w:szCs w:val="32"/>
        </w:rPr>
      </w:pPr>
      <w:bookmarkStart w:id="16" w:name="_Toc510971209"/>
      <w:r>
        <w:rPr>
          <w:rFonts w:hint="eastAsia" w:ascii="仿宋_GB2312" w:hAnsi="仿宋_GB2312" w:eastAsia="仿宋_GB2312" w:cs="仿宋_GB2312"/>
          <w:b/>
          <w:bCs/>
          <w:sz w:val="32"/>
          <w:szCs w:val="32"/>
        </w:rPr>
        <w:t>１.成立评价工作组</w:t>
      </w:r>
      <w:r>
        <w:rPr>
          <w:rFonts w:hint="eastAsia" w:ascii="仿宋" w:hAnsi="仿宋" w:eastAsia="仿宋" w:cs="仿宋_GB2312"/>
          <w:sz w:val="32"/>
          <w:szCs w:val="32"/>
        </w:rPr>
        <w:t>　</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成立市市场监督管理局食品药品安全稽查工作绩效评价工作组，评价工作组负责评价工作的组织开展，评价工作由综合科科牵头，工作组人员进行了分工，明确了职责。</w:t>
      </w:r>
    </w:p>
    <w:p>
      <w:pPr>
        <w:spacing w:line="360" w:lineRule="auto"/>
        <w:ind w:firstLine="643" w:firstLineChars="200"/>
        <w:rPr>
          <w:rFonts w:ascii="仿宋" w:hAnsi="仿宋" w:eastAsia="仿宋" w:cs="仿宋_GB2312"/>
          <w:sz w:val="32"/>
          <w:szCs w:val="32"/>
        </w:rPr>
      </w:pPr>
      <w:r>
        <w:rPr>
          <w:rFonts w:hint="eastAsia" w:ascii="仿宋_GB2312" w:hAnsi="仿宋_GB2312" w:eastAsia="仿宋_GB2312" w:cs="仿宋_GB2312"/>
          <w:b/>
          <w:bCs/>
          <w:sz w:val="32"/>
          <w:szCs w:val="32"/>
        </w:rPr>
        <w:t>２.绩效评价方式</w:t>
      </w:r>
      <w:r>
        <w:rPr>
          <w:rFonts w:hint="eastAsia" w:ascii="仿宋" w:hAnsi="仿宋" w:eastAsia="仿宋" w:cs="仿宋_GB2312"/>
          <w:sz w:val="32"/>
          <w:szCs w:val="32"/>
        </w:rPr>
        <w:t xml:space="preserve">  </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自评与主管部门复核相结合。</w:t>
      </w:r>
    </w:p>
    <w:p>
      <w:pPr>
        <w:spacing w:line="360" w:lineRule="auto"/>
        <w:ind w:firstLine="643" w:firstLineChars="200"/>
        <w:rPr>
          <w:rFonts w:ascii="仿宋" w:hAnsi="仿宋" w:eastAsia="仿宋" w:cs="仿宋_GB2312"/>
          <w:sz w:val="32"/>
          <w:szCs w:val="32"/>
        </w:rPr>
      </w:pPr>
      <w:r>
        <w:rPr>
          <w:rFonts w:hint="eastAsia" w:ascii="仿宋_GB2312" w:hAnsi="仿宋_GB2312" w:eastAsia="仿宋_GB2312" w:cs="仿宋_GB2312"/>
          <w:b/>
          <w:bCs/>
          <w:sz w:val="32"/>
          <w:szCs w:val="32"/>
        </w:rPr>
        <w:t xml:space="preserve">3.制定评价方案 </w:t>
      </w:r>
      <w:r>
        <w:rPr>
          <w:rFonts w:hint="eastAsia" w:ascii="仿宋" w:hAnsi="仿宋" w:eastAsia="仿宋" w:cs="仿宋_GB2312"/>
          <w:sz w:val="32"/>
          <w:szCs w:val="32"/>
        </w:rPr>
        <w:t xml:space="preserve"> </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（1）评价内容  </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一是具体的项目产出成效与成本，分为数量、质量、时效和成本；二是财政支出达到的经济效益和社会效益；三是绩效目标的设定与完成程度。</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（2）评价方法  </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绩效评价结果采取评分和评级相结合的方式，具体分值和等级可根据不同评价内容设定。总分一般设置为 100分，等级一般划分为四档：90（含）-100 分为优、80（含）-90分为良、60（含）-80 分为中、60 分以下为差。</w:t>
      </w:r>
    </w:p>
    <w:p>
      <w:pPr>
        <w:numPr>
          <w:ilvl w:val="0"/>
          <w:numId w:val="2"/>
        </w:num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工作程序 </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cs="仿宋_GB2312"/>
          <w:sz w:val="32"/>
          <w:szCs w:val="32"/>
        </w:rPr>
        <w:t>①</w:t>
      </w:r>
      <w:r>
        <w:rPr>
          <w:rFonts w:hint="eastAsia" w:ascii="仿宋" w:hAnsi="仿宋" w:eastAsia="仿宋" w:cs="仿宋_GB2312"/>
          <w:sz w:val="32"/>
          <w:szCs w:val="32"/>
        </w:rPr>
        <w:t>工作准备阶段（5月7日前）</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深入学习财政部《关于印发&lt;预算绩效评价共性指标体系框架&gt;的通知》（财预〔2013〕53号）、市政府《关于印发&lt;南昌市财政支出绩效评价管理办法（试行）&gt;的通知》（洪府发〔2014〕8号）、和《南昌市财政局关于开展2021年度预算绩效管理有关工作的通知》（洪财办〔2021〕7 号）文件，认真研究工作经费绩效评价办法，以及市财政局提出的绩效评价指标设计要求，制定了市场局工作经费项目资金的绩效个性指标及评价标准。</w:t>
      </w:r>
    </w:p>
    <w:p>
      <w:pPr>
        <w:spacing w:line="360" w:lineRule="auto"/>
        <w:ind w:firstLine="640" w:firstLineChars="200"/>
        <w:rPr>
          <w:rFonts w:ascii="仿宋" w:hAnsi="仿宋" w:eastAsia="仿宋" w:cs="仿宋_GB2312"/>
          <w:sz w:val="32"/>
          <w:szCs w:val="32"/>
        </w:rPr>
      </w:pPr>
      <w:r>
        <w:rPr>
          <w:rFonts w:hint="eastAsia" w:ascii="仿宋" w:hAnsi="仿宋" w:cs="仿宋_GB2312"/>
          <w:sz w:val="32"/>
          <w:szCs w:val="32"/>
        </w:rPr>
        <w:t>②</w:t>
      </w:r>
      <w:r>
        <w:rPr>
          <w:rFonts w:hint="eastAsia" w:ascii="仿宋" w:hAnsi="仿宋" w:eastAsia="仿宋" w:cs="仿宋_GB2312"/>
          <w:sz w:val="32"/>
          <w:szCs w:val="32"/>
        </w:rPr>
        <w:t>数据采集阶段（5月14日前）</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认真做好基础资料和相关数据的收集、整理工作，根据收集的数据资料，详细填报自评有关报表，并在5月14日前完成数据填报、收集、汇总工作。</w:t>
      </w:r>
    </w:p>
    <w:p>
      <w:pPr>
        <w:spacing w:line="360" w:lineRule="auto"/>
        <w:ind w:firstLine="640" w:firstLineChars="200"/>
        <w:rPr>
          <w:rFonts w:ascii="仿宋" w:hAnsi="仿宋" w:eastAsia="仿宋" w:cs="仿宋_GB2312"/>
          <w:sz w:val="32"/>
          <w:szCs w:val="32"/>
        </w:rPr>
      </w:pPr>
      <w:r>
        <w:rPr>
          <w:rFonts w:hint="eastAsia" w:ascii="仿宋" w:hAnsi="仿宋" w:cs="仿宋_GB2312"/>
          <w:sz w:val="32"/>
          <w:szCs w:val="32"/>
        </w:rPr>
        <w:t>③</w:t>
      </w:r>
      <w:r>
        <w:rPr>
          <w:rFonts w:hint="eastAsia" w:ascii="仿宋" w:hAnsi="仿宋" w:eastAsia="仿宋" w:cs="仿宋_GB2312"/>
          <w:sz w:val="32"/>
          <w:szCs w:val="32"/>
        </w:rPr>
        <w:t>评价阶段（5月24日前）</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根据有关数据及评价标准，进行数据分析，通过召开座谈会、询问查证、核实、问卷调查，对项目绩效进行评价，撰写部门评价报告，按照要求及时报送市局。</w:t>
      </w:r>
    </w:p>
    <w:p>
      <w:pPr>
        <w:pStyle w:val="3"/>
        <w:numPr>
          <w:ilvl w:val="0"/>
          <w:numId w:val="1"/>
        </w:numPr>
        <w:spacing w:before="156" w:after="156"/>
      </w:pPr>
      <w:r>
        <w:rPr>
          <w:rFonts w:hint="eastAsia"/>
        </w:rPr>
        <w:t>绩效评价指标分析情况</w:t>
      </w:r>
      <w:bookmarkEnd w:id="16"/>
      <w:bookmarkStart w:id="17" w:name="_Toc510971211"/>
    </w:p>
    <w:p>
      <w:pPr>
        <w:spacing w:line="360" w:lineRule="auto"/>
        <w:ind w:firstLine="643" w:firstLineChars="200"/>
        <w:rPr>
          <w:rFonts w:ascii="仿宋" w:hAnsi="仿宋" w:eastAsia="仿宋" w:cs="仿宋_GB2312"/>
          <w:sz w:val="32"/>
          <w:szCs w:val="32"/>
        </w:rPr>
      </w:pPr>
      <w:r>
        <w:rPr>
          <w:rFonts w:hint="eastAsia" w:ascii="仿宋_GB2312" w:hAnsi="仿宋_GB2312" w:eastAsia="仿宋_GB2312" w:cs="仿宋_GB2312"/>
          <w:b/>
          <w:bCs/>
          <w:sz w:val="32"/>
          <w:szCs w:val="32"/>
        </w:rPr>
        <w:t>1.评价情况</w:t>
      </w:r>
      <w:r>
        <w:rPr>
          <w:rFonts w:hint="eastAsia" w:ascii="仿宋" w:hAnsi="仿宋" w:eastAsia="仿宋" w:cs="仿宋_GB2312"/>
          <w:sz w:val="32"/>
          <w:szCs w:val="32"/>
        </w:rPr>
        <w:t>：此次项目评价通过了项目决策、项目过程、项目产出、项目效益、满意度5项</w:t>
      </w:r>
      <w:r>
        <w:rPr>
          <w:rFonts w:hint="eastAsia" w:ascii="仿宋" w:hAnsi="仿宋" w:cs="仿宋_GB2312"/>
          <w:sz w:val="32"/>
          <w:szCs w:val="32"/>
        </w:rPr>
        <w:t>主要</w:t>
      </w:r>
      <w:r>
        <w:rPr>
          <w:rFonts w:hint="eastAsia" w:ascii="仿宋" w:hAnsi="仿宋" w:eastAsia="仿宋" w:cs="仿宋_GB2312"/>
          <w:sz w:val="32"/>
          <w:szCs w:val="32"/>
        </w:rPr>
        <w:t>指标，围绕绩效评价指标体系，对该项目绩效进行了客观、全面的评价。最终评价结果为</w:t>
      </w:r>
      <w:r>
        <w:rPr>
          <w:rFonts w:hint="eastAsia" w:ascii="仿宋" w:hAnsi="仿宋" w:cs="仿宋_GB2312"/>
          <w:sz w:val="32"/>
          <w:szCs w:val="32"/>
        </w:rPr>
        <w:t>93.3</w:t>
      </w:r>
      <w:r>
        <w:rPr>
          <w:rFonts w:hint="eastAsia" w:ascii="仿宋" w:hAnsi="仿宋" w:eastAsia="仿宋" w:cs="仿宋_GB2312"/>
          <w:sz w:val="32"/>
          <w:szCs w:val="32"/>
        </w:rPr>
        <w:t>分，评价等级为优。</w:t>
      </w:r>
    </w:p>
    <w:p>
      <w:pPr>
        <w:jc w:val="center"/>
        <w:rPr>
          <w:rFonts w:eastAsia="仿宋"/>
          <w:b/>
          <w:bCs/>
          <w:sz w:val="32"/>
          <w:szCs w:val="24"/>
        </w:rPr>
      </w:pPr>
      <w:r>
        <w:rPr>
          <w:rFonts w:hint="eastAsia"/>
          <w:b/>
          <w:bCs/>
          <w:sz w:val="32"/>
          <w:szCs w:val="24"/>
        </w:rPr>
        <w:t>项目支出绩效评分表</w:t>
      </w:r>
    </w:p>
    <w:tbl>
      <w:tblPr>
        <w:tblStyle w:val="7"/>
        <w:tblW w:w="47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3"/>
        <w:gridCol w:w="1126"/>
        <w:gridCol w:w="1863"/>
        <w:gridCol w:w="1129"/>
        <w:gridCol w:w="1749"/>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679" w:type="pct"/>
            <w:shd w:val="clear" w:color="auto" w:fill="FFFFFF"/>
            <w:vAlign w:val="center"/>
          </w:tcPr>
          <w:p>
            <w:pPr>
              <w:widowControl/>
              <w:jc w:val="center"/>
              <w:rPr>
                <w:rFonts w:ascii="黑体" w:hAnsi="黑体" w:eastAsia="黑体" w:cs="宋体"/>
                <w:bCs/>
                <w:color w:val="000000"/>
                <w:kern w:val="0"/>
                <w:szCs w:val="16"/>
              </w:rPr>
            </w:pPr>
            <w:r>
              <w:rPr>
                <w:rFonts w:hint="eastAsia" w:ascii="黑体" w:hAnsi="黑体" w:eastAsia="黑体" w:cs="宋体"/>
                <w:bCs/>
                <w:color w:val="000000"/>
                <w:kern w:val="0"/>
                <w:szCs w:val="16"/>
              </w:rPr>
              <w:t>一级指标</w:t>
            </w:r>
          </w:p>
        </w:tc>
        <w:tc>
          <w:tcPr>
            <w:tcW w:w="693" w:type="pct"/>
            <w:shd w:val="clear" w:color="auto" w:fill="FFFFFF"/>
            <w:vAlign w:val="center"/>
          </w:tcPr>
          <w:p>
            <w:pPr>
              <w:widowControl/>
              <w:jc w:val="center"/>
              <w:rPr>
                <w:rFonts w:ascii="黑体" w:hAnsi="黑体" w:eastAsia="黑体" w:cs="宋体"/>
                <w:bCs/>
                <w:color w:val="000000"/>
                <w:kern w:val="0"/>
                <w:szCs w:val="16"/>
              </w:rPr>
            </w:pPr>
            <w:r>
              <w:rPr>
                <w:rFonts w:hint="eastAsia" w:ascii="黑体" w:hAnsi="黑体" w:eastAsia="黑体" w:cs="宋体"/>
                <w:bCs/>
                <w:color w:val="000000"/>
                <w:kern w:val="0"/>
                <w:szCs w:val="16"/>
              </w:rPr>
              <w:t>二级指标</w:t>
            </w:r>
          </w:p>
        </w:tc>
        <w:tc>
          <w:tcPr>
            <w:tcW w:w="1147" w:type="pct"/>
            <w:shd w:val="clear" w:color="auto" w:fill="FFFFFF"/>
            <w:vAlign w:val="center"/>
          </w:tcPr>
          <w:p>
            <w:pPr>
              <w:widowControl/>
              <w:jc w:val="center"/>
              <w:rPr>
                <w:rFonts w:ascii="黑体" w:hAnsi="黑体" w:eastAsia="黑体" w:cs="宋体"/>
                <w:bCs/>
                <w:color w:val="000000"/>
                <w:kern w:val="0"/>
                <w:szCs w:val="16"/>
              </w:rPr>
            </w:pPr>
            <w:r>
              <w:rPr>
                <w:rFonts w:hint="eastAsia" w:ascii="黑体" w:hAnsi="黑体" w:eastAsia="黑体" w:cs="宋体"/>
                <w:bCs/>
                <w:color w:val="000000"/>
                <w:kern w:val="0"/>
                <w:szCs w:val="16"/>
              </w:rPr>
              <w:t>三级指标</w:t>
            </w:r>
          </w:p>
        </w:tc>
        <w:tc>
          <w:tcPr>
            <w:tcW w:w="695" w:type="pct"/>
            <w:shd w:val="clear" w:color="auto" w:fill="FFFFFF"/>
            <w:vAlign w:val="center"/>
          </w:tcPr>
          <w:p>
            <w:pPr>
              <w:widowControl/>
              <w:jc w:val="center"/>
              <w:rPr>
                <w:rFonts w:ascii="黑体" w:hAnsi="黑体" w:eastAsia="黑体" w:cs="宋体"/>
                <w:bCs/>
                <w:color w:val="000000"/>
                <w:kern w:val="0"/>
                <w:szCs w:val="16"/>
              </w:rPr>
            </w:pPr>
            <w:r>
              <w:rPr>
                <w:rFonts w:hint="eastAsia" w:ascii="黑体" w:hAnsi="黑体" w:eastAsia="黑体" w:cs="宋体"/>
                <w:bCs/>
                <w:color w:val="000000"/>
                <w:kern w:val="0"/>
                <w:szCs w:val="16"/>
              </w:rPr>
              <w:t>分值权重</w:t>
            </w:r>
          </w:p>
        </w:tc>
        <w:tc>
          <w:tcPr>
            <w:tcW w:w="1076" w:type="pct"/>
            <w:shd w:val="clear" w:color="auto" w:fill="FFFFFF"/>
            <w:vAlign w:val="center"/>
          </w:tcPr>
          <w:p>
            <w:pPr>
              <w:widowControl/>
              <w:jc w:val="center"/>
              <w:rPr>
                <w:rFonts w:ascii="黑体" w:hAnsi="黑体" w:eastAsia="黑体" w:cs="宋体"/>
                <w:bCs/>
                <w:color w:val="000000"/>
                <w:kern w:val="0"/>
                <w:szCs w:val="16"/>
              </w:rPr>
            </w:pPr>
            <w:r>
              <w:rPr>
                <w:rFonts w:hint="eastAsia" w:ascii="黑体" w:hAnsi="黑体" w:eastAsia="黑体" w:cs="宋体"/>
                <w:bCs/>
                <w:color w:val="000000"/>
                <w:kern w:val="0"/>
                <w:szCs w:val="16"/>
              </w:rPr>
              <w:t>评分标准</w:t>
            </w:r>
          </w:p>
        </w:tc>
        <w:tc>
          <w:tcPr>
            <w:tcW w:w="708" w:type="pct"/>
            <w:shd w:val="clear" w:color="auto" w:fill="FFFFFF"/>
            <w:vAlign w:val="center"/>
          </w:tcPr>
          <w:p>
            <w:pPr>
              <w:widowControl/>
              <w:jc w:val="center"/>
              <w:rPr>
                <w:rFonts w:ascii="黑体" w:hAnsi="黑体" w:eastAsia="黑体" w:cs="宋体"/>
                <w:bCs/>
                <w:color w:val="000000"/>
                <w:kern w:val="0"/>
                <w:szCs w:val="16"/>
              </w:rPr>
            </w:pPr>
            <w:r>
              <w:rPr>
                <w:rFonts w:hint="eastAsia" w:ascii="黑体" w:hAnsi="黑体" w:eastAsia="黑体" w:cs="宋体"/>
                <w:bCs/>
                <w:color w:val="000000"/>
                <w:kern w:val="0"/>
                <w:szCs w:val="16"/>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79"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决策</w:t>
            </w:r>
          </w:p>
          <w:p>
            <w:pPr>
              <w:widowControl/>
              <w:spacing w:line="240" w:lineRule="exact"/>
              <w:jc w:val="center"/>
              <w:rPr>
                <w:rFonts w:ascii="方正书宋简体" w:hAnsi="黑体" w:eastAsia="方正书宋简体" w:cs="宋体"/>
                <w:color w:val="000000"/>
                <w:kern w:val="0"/>
                <w:szCs w:val="16"/>
              </w:rPr>
            </w:pPr>
          </w:p>
          <w:p>
            <w:pPr>
              <w:spacing w:line="240" w:lineRule="exact"/>
              <w:jc w:val="center"/>
              <w:rPr>
                <w:rFonts w:ascii="方正书宋简体" w:hAnsi="黑体" w:eastAsia="方正书宋简体" w:cs="宋体"/>
                <w:color w:val="000000"/>
                <w:kern w:val="0"/>
                <w:szCs w:val="16"/>
              </w:rPr>
            </w:pPr>
          </w:p>
        </w:tc>
        <w:tc>
          <w:tcPr>
            <w:tcW w:w="693"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项目立项</w:t>
            </w: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立项依据充分性</w:t>
            </w:r>
          </w:p>
        </w:tc>
        <w:tc>
          <w:tcPr>
            <w:tcW w:w="695"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076"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项目立项是否有依据</w:t>
            </w:r>
          </w:p>
        </w:tc>
        <w:tc>
          <w:tcPr>
            <w:tcW w:w="708" w:type="pct"/>
            <w:shd w:val="clear" w:color="auto" w:fill="FFFFFF"/>
            <w:vAlign w:val="center"/>
          </w:tcPr>
          <w:p>
            <w:pPr>
              <w:widowControl/>
              <w:spacing w:line="240" w:lineRule="exact"/>
              <w:jc w:val="center"/>
              <w:rPr>
                <w:rFonts w:hint="eastAsia" w:ascii="方正书宋简体" w:hAnsi="黑体" w:eastAsia="方正书宋简体" w:cs="宋体"/>
                <w:color w:val="000000"/>
                <w:kern w:val="0"/>
                <w:szCs w:val="16"/>
                <w:lang w:eastAsia="zh-CN"/>
              </w:rPr>
            </w:pPr>
            <w:r>
              <w:rPr>
                <w:rFonts w:hint="eastAsia" w:ascii="方正书宋简体" w:hAnsi="黑体" w:eastAsia="方正书宋简体" w:cs="宋体"/>
                <w:color w:val="000000"/>
                <w:kern w:val="0"/>
                <w:szCs w:val="16"/>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9" w:type="pct"/>
            <w:vMerge w:val="continue"/>
            <w:shd w:val="clear" w:color="auto" w:fill="FFFFFF"/>
            <w:vAlign w:val="center"/>
          </w:tcPr>
          <w:p>
            <w:pPr>
              <w:spacing w:line="240" w:lineRule="exact"/>
              <w:jc w:val="center"/>
              <w:rPr>
                <w:rFonts w:ascii="方正书宋简体" w:hAnsi="黑体" w:eastAsia="方正书宋简体" w:cs="宋体"/>
                <w:color w:val="000000"/>
                <w:kern w:val="0"/>
                <w:szCs w:val="16"/>
              </w:rPr>
            </w:pPr>
          </w:p>
        </w:tc>
        <w:tc>
          <w:tcPr>
            <w:tcW w:w="693"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立项程序规范性</w:t>
            </w:r>
          </w:p>
        </w:tc>
        <w:tc>
          <w:tcPr>
            <w:tcW w:w="695"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076"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立项过程是否规范</w:t>
            </w:r>
          </w:p>
        </w:tc>
        <w:tc>
          <w:tcPr>
            <w:tcW w:w="708"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spacing w:line="240" w:lineRule="exact"/>
              <w:jc w:val="center"/>
              <w:rPr>
                <w:rFonts w:ascii="方正书宋简体" w:hAnsi="黑体" w:eastAsia="方正书宋简体" w:cs="宋体"/>
                <w:color w:val="000000"/>
                <w:kern w:val="0"/>
                <w:szCs w:val="16"/>
              </w:rPr>
            </w:pPr>
          </w:p>
        </w:tc>
        <w:tc>
          <w:tcPr>
            <w:tcW w:w="693"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绩效目标</w:t>
            </w: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绩效目标合理性</w:t>
            </w:r>
          </w:p>
        </w:tc>
        <w:tc>
          <w:tcPr>
            <w:tcW w:w="695"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076"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目标确定是否合理</w:t>
            </w:r>
          </w:p>
        </w:tc>
        <w:tc>
          <w:tcPr>
            <w:tcW w:w="708"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绩效目标</w:t>
            </w: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绩效指标明确性</w:t>
            </w:r>
          </w:p>
        </w:tc>
        <w:tc>
          <w:tcPr>
            <w:tcW w:w="695"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076"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指标设置是否明确</w:t>
            </w:r>
          </w:p>
        </w:tc>
        <w:tc>
          <w:tcPr>
            <w:tcW w:w="708"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spacing w:line="240" w:lineRule="exact"/>
              <w:jc w:val="center"/>
              <w:rPr>
                <w:rFonts w:ascii="方正书宋简体" w:hAnsi="黑体" w:eastAsia="方正书宋简体" w:cs="宋体"/>
                <w:color w:val="000000"/>
                <w:kern w:val="0"/>
                <w:szCs w:val="16"/>
              </w:rPr>
            </w:pPr>
          </w:p>
        </w:tc>
        <w:tc>
          <w:tcPr>
            <w:tcW w:w="693"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资金投入</w:t>
            </w:r>
          </w:p>
          <w:p>
            <w:pPr>
              <w:widowControl/>
              <w:spacing w:line="240" w:lineRule="exact"/>
              <w:jc w:val="center"/>
              <w:rPr>
                <w:rFonts w:ascii="方正书宋简体" w:hAnsi="黑体" w:eastAsia="方正书宋简体" w:cs="宋体"/>
                <w:color w:val="000000"/>
                <w:kern w:val="0"/>
                <w:szCs w:val="16"/>
              </w:rPr>
            </w:pP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预算编制科学性</w:t>
            </w:r>
          </w:p>
        </w:tc>
        <w:tc>
          <w:tcPr>
            <w:tcW w:w="695"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2</w:t>
            </w:r>
            <w:r>
              <w:rPr>
                <w:rFonts w:hint="eastAsia" w:ascii="方正书宋简体" w:hAnsi="黑体" w:eastAsia="方正书宋简体" w:cs="宋体"/>
                <w:color w:val="000000"/>
                <w:kern w:val="0"/>
                <w:szCs w:val="16"/>
              </w:rPr>
              <w:t>%</w:t>
            </w:r>
          </w:p>
        </w:tc>
        <w:tc>
          <w:tcPr>
            <w:tcW w:w="1076"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项目编制是否科学</w:t>
            </w:r>
          </w:p>
        </w:tc>
        <w:tc>
          <w:tcPr>
            <w:tcW w:w="708" w:type="pct"/>
            <w:shd w:val="clear" w:color="auto" w:fill="FFFFFF"/>
            <w:vAlign w:val="center"/>
          </w:tcPr>
          <w:p>
            <w:pPr>
              <w:widowControl/>
              <w:spacing w:line="240" w:lineRule="exact"/>
              <w:jc w:val="center"/>
              <w:rPr>
                <w:rFonts w:hint="eastAsia" w:ascii="方正书宋简体" w:hAnsi="黑体" w:eastAsia="方正书宋简体" w:cs="宋体"/>
                <w:color w:val="000000"/>
                <w:kern w:val="0"/>
                <w:szCs w:val="16"/>
                <w:lang w:eastAsia="zh-CN"/>
              </w:rPr>
            </w:pPr>
            <w:r>
              <w:rPr>
                <w:rFonts w:hint="eastAsia" w:ascii="方正书宋简体" w:hAnsi="黑体" w:eastAsia="方正书宋简体" w:cs="宋体"/>
                <w:color w:val="000000"/>
                <w:kern w:val="0"/>
                <w:szCs w:val="16"/>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资金分配合理性</w:t>
            </w:r>
          </w:p>
        </w:tc>
        <w:tc>
          <w:tcPr>
            <w:tcW w:w="695"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1%</w:t>
            </w:r>
          </w:p>
        </w:tc>
        <w:tc>
          <w:tcPr>
            <w:tcW w:w="1076"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项目资金分配是否合理</w:t>
            </w:r>
          </w:p>
        </w:tc>
        <w:tc>
          <w:tcPr>
            <w:tcW w:w="708"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restart"/>
            <w:shd w:val="clear" w:color="auto" w:fill="FFFFFF"/>
            <w:vAlign w:val="center"/>
          </w:tcPr>
          <w:p>
            <w:pPr>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过程</w:t>
            </w:r>
          </w:p>
          <w:p>
            <w:pPr>
              <w:widowControl/>
              <w:spacing w:line="240" w:lineRule="exact"/>
              <w:jc w:val="center"/>
              <w:rPr>
                <w:rFonts w:ascii="方正书宋简体" w:hAnsi="黑体" w:eastAsia="方正书宋简体" w:cs="宋体"/>
                <w:color w:val="000000"/>
                <w:kern w:val="0"/>
                <w:szCs w:val="16"/>
              </w:rPr>
            </w:pPr>
          </w:p>
        </w:tc>
        <w:tc>
          <w:tcPr>
            <w:tcW w:w="693"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资金管理</w:t>
            </w: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资金到位率</w:t>
            </w:r>
          </w:p>
        </w:tc>
        <w:tc>
          <w:tcPr>
            <w:tcW w:w="695"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076"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实际拨付金额/预算金额</w:t>
            </w:r>
          </w:p>
        </w:tc>
        <w:tc>
          <w:tcPr>
            <w:tcW w:w="708"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spacing w:line="240" w:lineRule="exact"/>
              <w:jc w:val="center"/>
              <w:rPr>
                <w:rFonts w:ascii="方正书宋简体" w:hAnsi="黑体" w:eastAsia="方正书宋简体" w:cs="宋体"/>
                <w:color w:val="000000"/>
                <w:kern w:val="0"/>
                <w:szCs w:val="16"/>
              </w:rPr>
            </w:pPr>
          </w:p>
        </w:tc>
        <w:tc>
          <w:tcPr>
            <w:tcW w:w="693"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预算执行率</w:t>
            </w:r>
          </w:p>
        </w:tc>
        <w:tc>
          <w:tcPr>
            <w:tcW w:w="695"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076"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实际支付金额/实际拨付金额</w:t>
            </w:r>
          </w:p>
        </w:tc>
        <w:tc>
          <w:tcPr>
            <w:tcW w:w="708"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spacing w:line="240" w:lineRule="exact"/>
              <w:jc w:val="center"/>
              <w:rPr>
                <w:rFonts w:ascii="方正书宋简体" w:hAnsi="黑体" w:eastAsia="方正书宋简体" w:cs="宋体"/>
                <w:color w:val="000000"/>
                <w:kern w:val="0"/>
                <w:szCs w:val="16"/>
              </w:rPr>
            </w:pPr>
          </w:p>
        </w:tc>
        <w:tc>
          <w:tcPr>
            <w:tcW w:w="693"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资金管理</w:t>
            </w: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资金使用</w:t>
            </w:r>
          </w:p>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合规性</w:t>
            </w:r>
          </w:p>
        </w:tc>
        <w:tc>
          <w:tcPr>
            <w:tcW w:w="695"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076"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资金支付是否经过审批</w:t>
            </w:r>
          </w:p>
        </w:tc>
        <w:tc>
          <w:tcPr>
            <w:tcW w:w="708"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spacing w:line="240" w:lineRule="exact"/>
              <w:jc w:val="center"/>
              <w:rPr>
                <w:rFonts w:ascii="方正书宋简体" w:hAnsi="黑体" w:eastAsia="方正书宋简体" w:cs="宋体"/>
                <w:color w:val="000000"/>
                <w:kern w:val="0"/>
                <w:szCs w:val="16"/>
              </w:rPr>
            </w:pPr>
          </w:p>
        </w:tc>
        <w:tc>
          <w:tcPr>
            <w:tcW w:w="693"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组织实施</w:t>
            </w:r>
          </w:p>
          <w:p>
            <w:pPr>
              <w:widowControl/>
              <w:spacing w:line="240" w:lineRule="exact"/>
              <w:jc w:val="center"/>
              <w:rPr>
                <w:rFonts w:ascii="方正书宋简体" w:hAnsi="黑体" w:eastAsia="方正书宋简体" w:cs="宋体"/>
                <w:color w:val="000000"/>
                <w:kern w:val="0"/>
                <w:szCs w:val="16"/>
              </w:rPr>
            </w:pP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管理制度</w:t>
            </w:r>
          </w:p>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健全性</w:t>
            </w:r>
          </w:p>
        </w:tc>
        <w:tc>
          <w:tcPr>
            <w:tcW w:w="695"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076"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是否建立相关制度</w:t>
            </w:r>
          </w:p>
        </w:tc>
        <w:tc>
          <w:tcPr>
            <w:tcW w:w="708"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制度执行</w:t>
            </w:r>
          </w:p>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有效性</w:t>
            </w:r>
          </w:p>
        </w:tc>
        <w:tc>
          <w:tcPr>
            <w:tcW w:w="695"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r>
              <w:rPr>
                <w:rFonts w:hint="eastAsia" w:ascii="方正书宋简体" w:hAnsi="黑体" w:eastAsia="方正书宋简体" w:cs="宋体"/>
                <w:color w:val="000000"/>
                <w:kern w:val="0"/>
                <w:szCs w:val="16"/>
              </w:rPr>
              <w:t>%</w:t>
            </w:r>
          </w:p>
        </w:tc>
        <w:tc>
          <w:tcPr>
            <w:tcW w:w="1076"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是否执行相关制度</w:t>
            </w:r>
          </w:p>
        </w:tc>
        <w:tc>
          <w:tcPr>
            <w:tcW w:w="708"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产出</w:t>
            </w:r>
          </w:p>
        </w:tc>
        <w:tc>
          <w:tcPr>
            <w:tcW w:w="693"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产出数量</w:t>
            </w: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执法稽查人员培训50人次</w:t>
            </w:r>
          </w:p>
        </w:tc>
        <w:tc>
          <w:tcPr>
            <w:tcW w:w="695"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076"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实际完成数/计划完成数</w:t>
            </w:r>
          </w:p>
        </w:tc>
        <w:tc>
          <w:tcPr>
            <w:tcW w:w="708" w:type="pct"/>
            <w:shd w:val="clear" w:color="000000" w:fill="FFFFFF"/>
            <w:vAlign w:val="center"/>
          </w:tcPr>
          <w:p>
            <w:pPr>
              <w:widowControl/>
              <w:spacing w:line="240" w:lineRule="exact"/>
              <w:jc w:val="center"/>
              <w:rPr>
                <w:rFonts w:hint="eastAsia" w:ascii="方正书宋简体" w:hAnsi="黑体" w:eastAsia="方正书宋简体" w:cs="宋体"/>
                <w:color w:val="000000"/>
                <w:kern w:val="0"/>
                <w:szCs w:val="16"/>
                <w:lang w:eastAsia="zh-CN"/>
              </w:rPr>
            </w:pPr>
            <w:r>
              <w:rPr>
                <w:rFonts w:hint="eastAsia" w:ascii="方正书宋简体" w:hAnsi="黑体" w:eastAsia="方正书宋简体" w:cs="宋体"/>
                <w:color w:val="000000"/>
                <w:kern w:val="0"/>
                <w:szCs w:val="16"/>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食品药品法律法规宣传2次</w:t>
            </w:r>
          </w:p>
        </w:tc>
        <w:tc>
          <w:tcPr>
            <w:tcW w:w="695"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076"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实际完成数/计划完成数</w:t>
            </w:r>
          </w:p>
        </w:tc>
        <w:tc>
          <w:tcPr>
            <w:tcW w:w="708"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不合格食品药品核查处置40起</w:t>
            </w:r>
          </w:p>
        </w:tc>
        <w:tc>
          <w:tcPr>
            <w:tcW w:w="695"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076"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实际完成数/计划完成数</w:t>
            </w:r>
          </w:p>
        </w:tc>
        <w:tc>
          <w:tcPr>
            <w:tcW w:w="708"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重大活动餐饮保障任务20起</w:t>
            </w:r>
          </w:p>
        </w:tc>
        <w:tc>
          <w:tcPr>
            <w:tcW w:w="695"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076"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实际完成数/计划完成数</w:t>
            </w:r>
          </w:p>
        </w:tc>
        <w:tc>
          <w:tcPr>
            <w:tcW w:w="708"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产出质量</w:t>
            </w: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执法稽查人员培训对课程内容满意度100%</w:t>
            </w:r>
          </w:p>
        </w:tc>
        <w:tc>
          <w:tcPr>
            <w:tcW w:w="695"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076"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参训人员对课程满意人数/参训人数</w:t>
            </w:r>
          </w:p>
        </w:tc>
        <w:tc>
          <w:tcPr>
            <w:tcW w:w="708"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宣传法律法规覆盖程度达90%</w:t>
            </w:r>
          </w:p>
        </w:tc>
        <w:tc>
          <w:tcPr>
            <w:tcW w:w="695"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076"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宣传内容覆盖程度</w:t>
            </w:r>
          </w:p>
        </w:tc>
        <w:tc>
          <w:tcPr>
            <w:tcW w:w="708"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不合格食品药品核查处置率95%</w:t>
            </w:r>
          </w:p>
        </w:tc>
        <w:tc>
          <w:tcPr>
            <w:tcW w:w="695"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076"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实际查处数/抽检不合格数</w:t>
            </w:r>
          </w:p>
        </w:tc>
        <w:tc>
          <w:tcPr>
            <w:tcW w:w="708"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重大活动餐饮保障任务完成率100%</w:t>
            </w:r>
          </w:p>
        </w:tc>
        <w:tc>
          <w:tcPr>
            <w:tcW w:w="695"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076"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实际完成数/接收任务数</w:t>
            </w:r>
          </w:p>
        </w:tc>
        <w:tc>
          <w:tcPr>
            <w:tcW w:w="708"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spacing w:line="240" w:lineRule="exact"/>
              <w:jc w:val="center"/>
              <w:rPr>
                <w:rFonts w:ascii="方正书宋简体" w:hAnsi="黑体" w:eastAsia="方正书宋简体" w:cs="宋体"/>
                <w:color w:val="000000"/>
                <w:kern w:val="0"/>
                <w:szCs w:val="16"/>
              </w:rPr>
            </w:pPr>
          </w:p>
        </w:tc>
        <w:tc>
          <w:tcPr>
            <w:tcW w:w="693"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产出时效</w:t>
            </w: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2020年年末完成</w:t>
            </w:r>
          </w:p>
        </w:tc>
        <w:tc>
          <w:tcPr>
            <w:tcW w:w="695"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076"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完成时间是否早于年末</w:t>
            </w:r>
          </w:p>
        </w:tc>
        <w:tc>
          <w:tcPr>
            <w:tcW w:w="708" w:type="pct"/>
            <w:shd w:val="clear" w:color="000000" w:fill="FFFFFF"/>
            <w:vAlign w:val="center"/>
          </w:tcPr>
          <w:p>
            <w:pPr>
              <w:widowControl/>
              <w:spacing w:line="240" w:lineRule="exact"/>
              <w:jc w:val="center"/>
              <w:rPr>
                <w:rFonts w:hint="default" w:ascii="方正书宋简体" w:hAnsi="黑体" w:eastAsia="方正书宋简体" w:cs="宋体"/>
                <w:color w:val="000000"/>
                <w:kern w:val="0"/>
                <w:szCs w:val="16"/>
                <w:lang w:val="en-US"/>
              </w:rPr>
            </w:pPr>
            <w:r>
              <w:rPr>
                <w:rFonts w:hint="eastAsia" w:ascii="方正书宋简体" w:hAnsi="黑体" w:eastAsia="方正书宋简体" w:cs="宋体"/>
                <w:color w:val="000000"/>
                <w:kern w:val="0"/>
                <w:szCs w:val="16"/>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产出成本</w:t>
            </w: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费用上下浮动5%</w:t>
            </w:r>
          </w:p>
        </w:tc>
        <w:tc>
          <w:tcPr>
            <w:tcW w:w="695"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r>
              <w:rPr>
                <w:rFonts w:hint="eastAsia" w:ascii="方正书宋简体" w:hAnsi="黑体" w:eastAsia="方正书宋简体" w:cs="宋体"/>
                <w:color w:val="000000"/>
                <w:kern w:val="0"/>
                <w:szCs w:val="16"/>
              </w:rPr>
              <w:t>%</w:t>
            </w:r>
          </w:p>
        </w:tc>
        <w:tc>
          <w:tcPr>
            <w:tcW w:w="1076"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实际支付数/预算拨付数</w:t>
            </w:r>
          </w:p>
        </w:tc>
        <w:tc>
          <w:tcPr>
            <w:tcW w:w="708" w:type="pct"/>
            <w:shd w:val="clear" w:color="000000"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效益</w:t>
            </w:r>
          </w:p>
        </w:tc>
        <w:tc>
          <w:tcPr>
            <w:tcW w:w="693"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经济效益</w:t>
            </w: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5"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076"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708"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社会效益</w:t>
            </w: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食品药品法律法规覆盖度95%</w:t>
            </w:r>
          </w:p>
        </w:tc>
        <w:tc>
          <w:tcPr>
            <w:tcW w:w="695"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4%</w:t>
            </w:r>
          </w:p>
        </w:tc>
        <w:tc>
          <w:tcPr>
            <w:tcW w:w="1076"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法律法规宣传区域覆盖程度</w:t>
            </w:r>
          </w:p>
        </w:tc>
        <w:tc>
          <w:tcPr>
            <w:tcW w:w="708"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重大食品药品安全事故0起</w:t>
            </w:r>
          </w:p>
        </w:tc>
        <w:tc>
          <w:tcPr>
            <w:tcW w:w="695"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4%</w:t>
            </w:r>
          </w:p>
        </w:tc>
        <w:tc>
          <w:tcPr>
            <w:tcW w:w="1076"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是否出现食品药品安全事故</w:t>
            </w:r>
          </w:p>
        </w:tc>
        <w:tc>
          <w:tcPr>
            <w:tcW w:w="708"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生态效益</w:t>
            </w: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5"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076"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708"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可持续效益</w:t>
            </w: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执法稽查人员考试通过率95%</w:t>
            </w:r>
          </w:p>
        </w:tc>
        <w:tc>
          <w:tcPr>
            <w:tcW w:w="695"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4%</w:t>
            </w:r>
          </w:p>
        </w:tc>
        <w:tc>
          <w:tcPr>
            <w:tcW w:w="1076"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参训人员考核合格人数/参训人数</w:t>
            </w:r>
          </w:p>
        </w:tc>
        <w:tc>
          <w:tcPr>
            <w:tcW w:w="708"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重大活动餐饮安全事故0起</w:t>
            </w:r>
          </w:p>
        </w:tc>
        <w:tc>
          <w:tcPr>
            <w:tcW w:w="695"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4%</w:t>
            </w:r>
          </w:p>
        </w:tc>
        <w:tc>
          <w:tcPr>
            <w:tcW w:w="1076"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是否出现食品药品安全事故</w:t>
            </w:r>
          </w:p>
        </w:tc>
        <w:tc>
          <w:tcPr>
            <w:tcW w:w="708"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食品药品法律法规知晓率95%</w:t>
            </w:r>
          </w:p>
        </w:tc>
        <w:tc>
          <w:tcPr>
            <w:tcW w:w="695"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4%</w:t>
            </w:r>
          </w:p>
        </w:tc>
        <w:tc>
          <w:tcPr>
            <w:tcW w:w="1076"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知晓法律法规程度</w:t>
            </w:r>
          </w:p>
        </w:tc>
        <w:tc>
          <w:tcPr>
            <w:tcW w:w="708"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满意度</w:t>
            </w:r>
          </w:p>
        </w:tc>
        <w:tc>
          <w:tcPr>
            <w:tcW w:w="693"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社会公众或服务对象满意度</w:t>
            </w: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人民群众满意度</w:t>
            </w:r>
          </w:p>
        </w:tc>
        <w:tc>
          <w:tcPr>
            <w:tcW w:w="695"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5%</w:t>
            </w:r>
          </w:p>
        </w:tc>
        <w:tc>
          <w:tcPr>
            <w:tcW w:w="1076"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人民群众满意程度</w:t>
            </w:r>
          </w:p>
        </w:tc>
        <w:tc>
          <w:tcPr>
            <w:tcW w:w="708"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79"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693"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16"/>
              </w:rPr>
            </w:pPr>
          </w:p>
        </w:tc>
        <w:tc>
          <w:tcPr>
            <w:tcW w:w="1147"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上级部门满意度</w:t>
            </w:r>
          </w:p>
        </w:tc>
        <w:tc>
          <w:tcPr>
            <w:tcW w:w="695"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5%</w:t>
            </w:r>
          </w:p>
        </w:tc>
        <w:tc>
          <w:tcPr>
            <w:tcW w:w="1076"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上级部门满意程度</w:t>
            </w:r>
          </w:p>
        </w:tc>
        <w:tc>
          <w:tcPr>
            <w:tcW w:w="708" w:type="pct"/>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color w:val="000000"/>
                <w:kern w:val="0"/>
                <w:szCs w:val="1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291" w:type="pct"/>
            <w:gridSpan w:val="5"/>
            <w:shd w:val="clear" w:color="auto" w:fill="FFFFFF"/>
            <w:vAlign w:val="center"/>
          </w:tcPr>
          <w:p>
            <w:pPr>
              <w:widowControl/>
              <w:spacing w:line="240" w:lineRule="exact"/>
              <w:jc w:val="center"/>
              <w:rPr>
                <w:rFonts w:ascii="方正书宋简体" w:hAnsi="黑体" w:eastAsia="方正书宋简体" w:cs="宋体"/>
                <w:color w:val="000000"/>
                <w:kern w:val="0"/>
                <w:szCs w:val="16"/>
              </w:rPr>
            </w:pPr>
            <w:r>
              <w:rPr>
                <w:rFonts w:hint="eastAsia" w:ascii="方正书宋简体" w:hAnsi="黑体" w:eastAsia="方正书宋简体" w:cs="宋体"/>
                <w:bCs/>
                <w:color w:val="000000"/>
                <w:kern w:val="0"/>
                <w:szCs w:val="16"/>
              </w:rPr>
              <w:t>总分</w:t>
            </w:r>
          </w:p>
        </w:tc>
        <w:tc>
          <w:tcPr>
            <w:tcW w:w="708" w:type="pct"/>
            <w:shd w:val="clear" w:color="auto" w:fill="FFFFFF"/>
            <w:vAlign w:val="center"/>
          </w:tcPr>
          <w:p>
            <w:pPr>
              <w:widowControl/>
              <w:spacing w:line="240" w:lineRule="exact"/>
              <w:jc w:val="center"/>
              <w:rPr>
                <w:rFonts w:hint="default" w:ascii="方正书宋简体" w:hAnsi="黑体" w:eastAsia="方正书宋简体" w:cs="宋体"/>
                <w:color w:val="000000"/>
                <w:kern w:val="0"/>
                <w:szCs w:val="16"/>
                <w:lang w:val="en-US" w:eastAsia="zh-CN"/>
              </w:rPr>
            </w:pPr>
            <w:r>
              <w:rPr>
                <w:rFonts w:hint="eastAsia" w:ascii="方正书宋简体" w:hAnsi="黑体" w:eastAsia="方正书宋简体" w:cs="宋体"/>
                <w:color w:val="000000"/>
                <w:kern w:val="0"/>
                <w:szCs w:val="16"/>
                <w:lang w:val="en-US" w:eastAsia="zh-CN"/>
              </w:rPr>
              <w:t>93</w:t>
            </w:r>
            <w:bookmarkStart w:id="20" w:name="_GoBack"/>
            <w:bookmarkEnd w:id="20"/>
          </w:p>
        </w:tc>
      </w:tr>
    </w:tbl>
    <w:p/>
    <w:bookmarkEnd w:id="17"/>
    <w:p>
      <w:pPr>
        <w:spacing w:line="360" w:lineRule="auto"/>
        <w:ind w:firstLine="643" w:firstLineChars="200"/>
        <w:rPr>
          <w:rFonts w:ascii="仿宋" w:hAnsi="仿宋" w:eastAsia="仿宋" w:cs="仿宋_GB2312"/>
          <w:sz w:val="32"/>
          <w:szCs w:val="32"/>
        </w:rPr>
      </w:pPr>
      <w:r>
        <w:rPr>
          <w:rFonts w:hint="eastAsia" w:ascii="仿宋_GB2312" w:hAnsi="仿宋_GB2312" w:eastAsia="仿宋_GB2312" w:cs="仿宋_GB2312"/>
          <w:b/>
          <w:bCs/>
          <w:sz w:val="32"/>
          <w:szCs w:val="32"/>
        </w:rPr>
        <w:t>2.评价结论</w:t>
      </w:r>
      <w:r>
        <w:rPr>
          <w:rFonts w:hint="eastAsia" w:ascii="仿宋" w:hAnsi="仿宋" w:eastAsia="仿宋" w:cs="仿宋_GB2312"/>
          <w:sz w:val="32"/>
          <w:szCs w:val="32"/>
        </w:rPr>
        <w:t>：2020年度南昌市食品药品稽查支队食品药品安全稽查工作项目基本达到项目预期目标，南昌市食品药品稽查支队严格按照相关文件要求，完成了相关餐饮单位的安全检查，保障了与会者饮食安全，提升了南昌综合形象，增强了社会公众对食品的安全信心。</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评价组围绕绩效评价指标体系，通过数据采集分析，实地核查及深度访谈等方式，对该项目绩效进行了客观、公正、合理、有效的评价。建立了业务管理制度、财务管理制度，制度健全且得到了有效的执行，以上制度的运行得到了有效的监督。最终评价结果为93.3分，依据财政绩效评价等级划分，本项目绩效评价等级为“优”。</w:t>
      </w:r>
    </w:p>
    <w:p>
      <w:pPr>
        <w:pStyle w:val="3"/>
        <w:numPr>
          <w:ilvl w:val="0"/>
          <w:numId w:val="1"/>
        </w:numPr>
        <w:spacing w:before="156" w:after="156"/>
        <w:rPr>
          <w:szCs w:val="28"/>
        </w:rPr>
      </w:pPr>
      <w:r>
        <w:rPr>
          <w:rFonts w:hint="eastAsia"/>
          <w:szCs w:val="28"/>
        </w:rPr>
        <w:t>绩效评价指标分析</w:t>
      </w:r>
    </w:p>
    <w:p>
      <w:pPr>
        <w:spacing w:line="360" w:lineRule="auto"/>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（一）项目决策情况（1</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1．项目立项（</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（1）立项依据充分性（</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分）</w:t>
      </w:r>
    </w:p>
    <w:p>
      <w:pPr>
        <w:spacing w:line="360" w:lineRule="auto"/>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1、项目立项符合国家法律法规、国民经济发展规划和相关政策</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根据“十四五”规划要求，落实“四个最严”的食品药品监管，保障人民群众饮食用药安全。</w:t>
      </w:r>
      <w:r>
        <w:rPr>
          <w:rFonts w:hint="eastAsia" w:ascii="仿宋_GB2312" w:hAnsi="仿宋_GB2312" w:eastAsia="仿宋_GB2312" w:cs="仿宋_GB2312"/>
          <w:bCs/>
          <w:sz w:val="32"/>
          <w:szCs w:val="32"/>
        </w:rPr>
        <w:t>得1</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p>
    <w:p>
      <w:pPr>
        <w:spacing w:line="360" w:lineRule="auto"/>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2、项目立项与部门职责范围相符，属于部门履职所需</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根据市食药支队三定方案，负责全市辖区内生产、流通领域食品药品安全，处置重大食品药品事故，接收并转办辖区内投诉举报线索，做好相关法律法规的宣传普及工作。</w:t>
      </w:r>
      <w:r>
        <w:rPr>
          <w:rFonts w:hint="eastAsia" w:ascii="仿宋_GB2312" w:hAnsi="仿宋_GB2312" w:eastAsia="仿宋_GB2312" w:cs="仿宋_GB2312"/>
          <w:bCs/>
          <w:sz w:val="32"/>
          <w:szCs w:val="32"/>
        </w:rPr>
        <w:t>得1</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（2）立项程序规范性（</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分）</w:t>
      </w:r>
    </w:p>
    <w:p>
      <w:pPr>
        <w:spacing w:line="360" w:lineRule="auto"/>
        <w:ind w:firstLine="960" w:firstLineChars="3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1、项目按照规定的程序申请设立</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食品药品稽查预算项目根据南昌市市场监督管理局市场监管项目要求立项，经主管局审批并报财政部门审核。得</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w:t>
      </w:r>
    </w:p>
    <w:p>
      <w:pPr>
        <w:spacing w:line="360" w:lineRule="auto"/>
        <w:ind w:firstLine="960" w:firstLineChars="3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2、项目经过了必要的调研和集体决策</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项目立项经过南昌市食药支队集体讨论，综合考虑业务、财务等方面因素，合理确定项目指标。得</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w:t>
      </w:r>
    </w:p>
    <w:p>
      <w:pPr>
        <w:spacing w:line="360" w:lineRule="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2.绩效目标（</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分）</w:t>
      </w:r>
      <w:r>
        <w:rPr>
          <w:rFonts w:hint="eastAsia" w:ascii="仿宋_GB2312" w:hAnsi="仿宋_GB2312" w:eastAsia="仿宋_GB2312" w:cs="仿宋_GB2312"/>
          <w:b/>
          <w:bCs/>
          <w:sz w:val="32"/>
          <w:szCs w:val="32"/>
          <w:lang w:val="en-US" w:eastAsia="zh-CN"/>
        </w:rPr>
        <w:t xml:space="preserve">  </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（1）绩效目标合理性（</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分）</w:t>
      </w:r>
    </w:p>
    <w:p>
      <w:pPr>
        <w:spacing w:line="360" w:lineRule="auto"/>
        <w:ind w:firstLine="960" w:firstLineChars="3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1、项目有绩效目标</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项目绩效目标均根据年度工作计划进行设置，并结合工作实际统筹安排。得1.5</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w:t>
      </w:r>
    </w:p>
    <w:p>
      <w:pPr>
        <w:spacing w:line="360" w:lineRule="auto"/>
        <w:ind w:firstLine="960" w:firstLineChars="3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2、项目绩效目标与实际工作内容具有相关性</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项目绩效目标均根据各业务科室具体的年度计划以及支队三定方案中的职责设定，具有相关性。得</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b/>
        </w:rPr>
        <w:t xml:space="preserve"> </w:t>
      </w:r>
      <w:r>
        <w:rPr>
          <w:rFonts w:hint="eastAsia" w:ascii="仿宋_GB2312" w:hAnsi="仿宋_GB2312" w:eastAsia="仿宋_GB2312" w:cs="仿宋_GB2312"/>
          <w:b/>
          <w:bCs/>
          <w:sz w:val="32"/>
          <w:szCs w:val="32"/>
        </w:rPr>
        <w:t>绩效指标（</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（1）绩效指标明确性（</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分）</w:t>
      </w:r>
    </w:p>
    <w:p>
      <w:pPr>
        <w:spacing w:line="360" w:lineRule="auto"/>
        <w:ind w:firstLine="960" w:firstLineChars="3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1、将项目绩效目标细化分解为具体的绩效指标</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绩效目标均以绩效目标为中心进行设置，且保持目标与指标的对应。得</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w:t>
      </w:r>
    </w:p>
    <w:p>
      <w:pPr>
        <w:spacing w:line="360" w:lineRule="auto"/>
        <w:ind w:firstLine="960" w:firstLineChars="3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2、通过清晰、可衡量的指标值予以体现</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各绩效指标的设置均具有可衡量性，设置了计算公式。得</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4.资金投入（2分）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（1）预算编制科学性（1分）</w:t>
      </w:r>
    </w:p>
    <w:p>
      <w:pPr>
        <w:spacing w:line="360" w:lineRule="auto"/>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1、预算内容与项目内容相匹配（0.5分）</w:t>
      </w:r>
    </w:p>
    <w:p>
      <w:pPr>
        <w:spacing w:line="360" w:lineRule="auto"/>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2、预算额度测算依据充分，按照标准编制（0.5分）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（2）资金分配合理性（</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分）</w:t>
      </w:r>
    </w:p>
    <w:p>
      <w:pPr>
        <w:spacing w:line="360" w:lineRule="auto"/>
        <w:ind w:firstLine="960" w:firstLineChars="3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1、预算资金分配依据充分</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预算资金根据实际情况并结合当年工作需求和工作重点进行合理安排。得1</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w:t>
      </w:r>
    </w:p>
    <w:p>
      <w:pPr>
        <w:spacing w:line="360" w:lineRule="auto"/>
        <w:ind w:firstLine="960" w:firstLineChars="3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2、资金分配额度合理，与项目单位或地方实际相适应</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资金分配注重突出重点，兼顾非重点，统筹安排。得1</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w:t>
      </w:r>
    </w:p>
    <w:p>
      <w:pPr>
        <w:spacing w:line="360" w:lineRule="auto"/>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（二）项目过程情况（1</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分）</w:t>
      </w:r>
    </w:p>
    <w:p>
      <w:pPr>
        <w:spacing w:line="360" w:lineRule="auto"/>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b/>
        </w:rPr>
        <w:t xml:space="preserve"> </w:t>
      </w:r>
      <w:r>
        <w:rPr>
          <w:rFonts w:hint="eastAsia" w:ascii="仿宋_GB2312" w:hAnsi="仿宋_GB2312" w:eastAsia="仿宋_GB2312" w:cs="仿宋_GB2312"/>
          <w:b/>
          <w:bCs/>
          <w:sz w:val="32"/>
          <w:szCs w:val="32"/>
        </w:rPr>
        <w:t>资金管理（</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分）</w:t>
      </w:r>
    </w:p>
    <w:p>
      <w:pPr>
        <w:spacing w:line="360" w:lineRule="auto"/>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（1）资金到位率（</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分）</w:t>
      </w:r>
    </w:p>
    <w:p>
      <w:pPr>
        <w:spacing w:line="360" w:lineRule="auto"/>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资金到位率=（实际到位资金/预算资金）×100%=42.56/42.56×100%=100%，得2分。</w:t>
      </w:r>
    </w:p>
    <w:p>
      <w:pPr>
        <w:spacing w:line="360" w:lineRule="auto"/>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（2）预算执行率（</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分）</w:t>
      </w:r>
    </w:p>
    <w:p>
      <w:pPr>
        <w:spacing w:line="360" w:lineRule="auto"/>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预算资金执行率=（实际支付项目资金数/项目年度预算安排资金）×100%=42.56/42.56×100%=100%，得2分。</w:t>
      </w:r>
    </w:p>
    <w:p>
      <w:pPr>
        <w:spacing w:line="360" w:lineRule="auto"/>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资金管理（</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分）</w:t>
      </w:r>
    </w:p>
    <w:p>
      <w:pPr>
        <w:spacing w:line="360" w:lineRule="auto"/>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（1）资金使用合规性（</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分）</w:t>
      </w:r>
    </w:p>
    <w:p>
      <w:pPr>
        <w:spacing w:line="360" w:lineRule="auto"/>
        <w:ind w:firstLine="1120" w:firstLineChars="35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1、符合国家财经法规和财务管理制度以及有关专项资金管理办法的规定</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得1.5</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w:t>
      </w:r>
    </w:p>
    <w:p>
      <w:pPr>
        <w:spacing w:line="360" w:lineRule="auto"/>
        <w:ind w:firstLine="1120" w:firstLineChars="35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2、资金的拨付有完整的审批程序和手续</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预算资金均申报主管局和财政，并经逐级审批。得</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w:t>
      </w:r>
    </w:p>
    <w:p>
      <w:pPr>
        <w:spacing w:line="360" w:lineRule="auto"/>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b/>
        </w:rPr>
        <w:t xml:space="preserve"> </w:t>
      </w:r>
      <w:r>
        <w:rPr>
          <w:rFonts w:hint="eastAsia" w:ascii="仿宋_GB2312" w:hAnsi="仿宋_GB2312" w:eastAsia="仿宋_GB2312" w:cs="仿宋_GB2312"/>
          <w:b/>
          <w:bCs/>
          <w:sz w:val="32"/>
          <w:szCs w:val="32"/>
        </w:rPr>
        <w:t>组织实施（</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分）</w:t>
      </w:r>
    </w:p>
    <w:p>
      <w:pPr>
        <w:spacing w:line="360" w:lineRule="auto"/>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（1）管理制度健全性（</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分）</w:t>
      </w:r>
    </w:p>
    <w:p>
      <w:pPr>
        <w:spacing w:line="360" w:lineRule="auto"/>
        <w:ind w:firstLine="1120" w:firstLineChars="35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1、已制定或具有相应的财务和业务管理制度</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w:t>
      </w:r>
    </w:p>
    <w:p>
      <w:pPr>
        <w:spacing w:line="360" w:lineRule="auto"/>
        <w:ind w:firstLine="1120" w:firstLineChars="35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2、财务和业务管理制度合法、合规、完整</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得</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w:t>
      </w:r>
    </w:p>
    <w:p>
      <w:pPr>
        <w:spacing w:line="360" w:lineRule="auto"/>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（2）制度执行有效性（</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分）</w:t>
      </w:r>
    </w:p>
    <w:p>
      <w:pPr>
        <w:spacing w:line="360" w:lineRule="auto"/>
        <w:ind w:firstLine="1120" w:firstLineChars="35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1、遵守相关法律法规和相关管理规定</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得</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w:t>
      </w:r>
    </w:p>
    <w:p>
      <w:pPr>
        <w:spacing w:line="360" w:lineRule="auto"/>
        <w:ind w:firstLine="1120" w:firstLineChars="35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2、项目合同书、验收报告、技术鉴定等资料不齐全并未及时归档</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得</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r>
        <w:rPr>
          <w:rFonts w:hint="eastAsia" w:ascii="仿宋_GB2312" w:hAnsi="仿宋_GB2312" w:eastAsia="仿宋_GB2312" w:cs="仿宋_GB2312"/>
          <w:bCs/>
          <w:sz w:val="32"/>
          <w:szCs w:val="32"/>
          <w:lang w:eastAsia="zh-CN"/>
        </w:rPr>
        <w:t>。</w:t>
      </w:r>
    </w:p>
    <w:p>
      <w:pPr>
        <w:spacing w:line="360" w:lineRule="auto"/>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（三）项目产出情况（</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0分）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1.产出数量（</w:t>
      </w:r>
      <w:r>
        <w:rPr>
          <w:rFonts w:hint="eastAsia" w:ascii="仿宋_GB2312" w:hAnsi="仿宋_GB2312" w:eastAsia="仿宋_GB2312" w:cs="仿宋_GB2312"/>
          <w:b/>
          <w:bCs/>
          <w:sz w:val="32"/>
          <w:szCs w:val="32"/>
          <w:lang w:val="en-US" w:eastAsia="zh-CN"/>
        </w:rPr>
        <w:t>16</w:t>
      </w:r>
      <w:r>
        <w:rPr>
          <w:rFonts w:hint="eastAsia" w:ascii="仿宋_GB2312" w:hAnsi="仿宋_GB2312" w:eastAsia="仿宋_GB2312" w:cs="仿宋_GB2312"/>
          <w:b/>
          <w:bCs/>
          <w:sz w:val="32"/>
          <w:szCs w:val="32"/>
        </w:rPr>
        <w:t>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（1）指标1：举办执法稽查人员培训，人次数不低于50人次（</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分）</w:t>
      </w:r>
    </w:p>
    <w:p>
      <w:pPr>
        <w:ind w:firstLine="640"/>
        <w:rPr>
          <w:rFonts w:ascii="仿宋" w:hAnsi="仿宋" w:eastAsia="仿宋" w:cs="仿宋_GB2312"/>
          <w:sz w:val="32"/>
          <w:szCs w:val="32"/>
        </w:rPr>
      </w:pPr>
      <w:r>
        <w:rPr>
          <w:rFonts w:hint="eastAsia" w:ascii="仿宋_GB2312" w:eastAsia="仿宋_GB2312"/>
          <w:color w:val="000000"/>
          <w:sz w:val="32"/>
          <w:szCs w:val="32"/>
        </w:rPr>
        <w:t>11月份举办执法稽查人员专项培训，培训参与人次数70人次，此项得分</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分</w:t>
      </w:r>
      <w:r>
        <w:rPr>
          <w:rFonts w:hint="eastAsia" w:ascii="仿宋" w:hAnsi="仿宋" w:eastAsia="仿宋" w:cs="仿宋_GB2312"/>
          <w:sz w:val="32"/>
          <w:szCs w:val="32"/>
        </w:rPr>
        <w:t>。</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（2）指标2：参与或举办食品药品法律法规宣传2次（</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分）</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受疫情影响，上半年稽查局全力防疫，下半年参与一次法律法规宣传，此项得分2分。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（3）指标3：查处不合格食品药品，并立案调查40起（</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分）</w:t>
      </w:r>
    </w:p>
    <w:p>
      <w:pPr>
        <w:spacing w:line="360" w:lineRule="auto"/>
        <w:ind w:firstLine="640" w:firstLineChars="200"/>
        <w:rPr>
          <w:rFonts w:ascii="仿宋" w:hAnsi="仿宋" w:eastAsia="仿宋" w:cs="仿宋_GB2312"/>
          <w:sz w:val="32"/>
          <w:szCs w:val="32"/>
        </w:rPr>
      </w:pPr>
      <w:r>
        <w:rPr>
          <w:rFonts w:hint="eastAsia" w:ascii="仿宋" w:hAnsi="仿宋" w:cs="仿宋_GB2312"/>
          <w:sz w:val="32"/>
          <w:szCs w:val="32"/>
        </w:rPr>
        <w:t>全年抽检各类食品药品共计300批次，对不合格食品药品立案查处40起，此项</w:t>
      </w:r>
      <w:r>
        <w:rPr>
          <w:rFonts w:hint="eastAsia" w:ascii="仿宋" w:hAnsi="仿宋" w:eastAsia="仿宋" w:cs="仿宋_GB2312"/>
          <w:sz w:val="32"/>
          <w:szCs w:val="32"/>
        </w:rPr>
        <w:t>得</w:t>
      </w:r>
      <w:r>
        <w:rPr>
          <w:rFonts w:hint="eastAsia" w:ascii="仿宋" w:hAnsi="仿宋" w:cs="仿宋_GB2312"/>
          <w:sz w:val="32"/>
          <w:szCs w:val="32"/>
        </w:rPr>
        <w:t>分</w:t>
      </w:r>
      <w:r>
        <w:rPr>
          <w:rFonts w:hint="eastAsia" w:ascii="仿宋" w:hAnsi="仿宋" w:cs="仿宋_GB2312"/>
          <w:sz w:val="32"/>
          <w:szCs w:val="32"/>
          <w:lang w:val="en-US" w:eastAsia="zh-CN"/>
        </w:rPr>
        <w:t>4</w:t>
      </w:r>
      <w:r>
        <w:rPr>
          <w:rFonts w:hint="eastAsia" w:ascii="仿宋" w:hAnsi="仿宋" w:eastAsia="仿宋" w:cs="仿宋_GB2312"/>
          <w:sz w:val="32"/>
          <w:szCs w:val="32"/>
        </w:rPr>
        <w:t>分。</w:t>
      </w:r>
    </w:p>
    <w:p>
      <w:pPr>
        <w:spacing w:line="360" w:lineRule="auto"/>
        <w:ind w:firstLine="643" w:firstLineChars="200"/>
        <w:rPr>
          <w:rFonts w:ascii="仿宋" w:hAnsi="仿宋" w:eastAsia="仿宋" w:cs="仿宋_GB2312"/>
          <w:sz w:val="32"/>
          <w:szCs w:val="32"/>
        </w:rPr>
      </w:pPr>
      <w:r>
        <w:rPr>
          <w:rFonts w:hint="eastAsia" w:ascii="仿宋" w:hAnsi="仿宋" w:eastAsia="仿宋" w:cs="仿宋_GB2312"/>
          <w:b/>
          <w:sz w:val="32"/>
          <w:szCs w:val="32"/>
        </w:rPr>
        <w:t>（4）</w:t>
      </w:r>
      <w:r>
        <w:rPr>
          <w:rFonts w:hint="eastAsia" w:ascii="仿宋_GB2312" w:hAnsi="仿宋_GB2312" w:eastAsia="仿宋_GB2312" w:cs="仿宋_GB2312"/>
          <w:b/>
          <w:bCs/>
          <w:sz w:val="32"/>
          <w:szCs w:val="32"/>
        </w:rPr>
        <w:t>指标4：参与执行重大活动餐饮保障任务20起（</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分）</w:t>
      </w:r>
    </w:p>
    <w:p>
      <w:pPr>
        <w:spacing w:line="360" w:lineRule="auto"/>
        <w:ind w:firstLine="640" w:firstLineChars="200"/>
        <w:rPr>
          <w:rFonts w:ascii="仿宋" w:hAnsi="仿宋" w:eastAsia="仿宋" w:cs="仿宋"/>
          <w:sz w:val="32"/>
          <w:szCs w:val="32"/>
        </w:rPr>
      </w:pPr>
      <w:r>
        <w:rPr>
          <w:rFonts w:hint="eastAsia" w:ascii="仿宋_GB2312" w:hAnsi="仿宋" w:eastAsia="仿宋_GB2312" w:cs="方正仿宋_GB2312"/>
          <w:color w:val="000000"/>
          <w:kern w:val="32"/>
          <w:sz w:val="32"/>
          <w:szCs w:val="32"/>
        </w:rPr>
        <w:t>共完成重大活动保障任务20余次，保障天数100余天，参与保障人数60余人次。此项得分</w:t>
      </w:r>
      <w:r>
        <w:rPr>
          <w:rFonts w:hint="eastAsia" w:ascii="仿宋_GB2312" w:hAnsi="仿宋" w:eastAsia="仿宋_GB2312" w:cs="方正仿宋_GB2312"/>
          <w:color w:val="000000"/>
          <w:kern w:val="32"/>
          <w:sz w:val="32"/>
          <w:szCs w:val="32"/>
          <w:lang w:val="en-US" w:eastAsia="zh-CN"/>
        </w:rPr>
        <w:t>4</w:t>
      </w:r>
      <w:r>
        <w:rPr>
          <w:rFonts w:hint="eastAsia" w:ascii="仿宋_GB2312" w:hAnsi="仿宋" w:eastAsia="仿宋_GB2312" w:cs="方正仿宋_GB2312"/>
          <w:color w:val="000000"/>
          <w:kern w:val="32"/>
          <w:sz w:val="32"/>
          <w:szCs w:val="32"/>
        </w:rPr>
        <w:t>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2.质量指标（</w:t>
      </w:r>
      <w:r>
        <w:rPr>
          <w:rFonts w:hint="eastAsia" w:ascii="仿宋_GB2312" w:hAnsi="仿宋_GB2312" w:eastAsia="仿宋_GB2312" w:cs="仿宋_GB2312"/>
          <w:b/>
          <w:bCs/>
          <w:sz w:val="32"/>
          <w:szCs w:val="32"/>
          <w:lang w:val="en-US" w:eastAsia="zh-CN"/>
        </w:rPr>
        <w:t>16</w:t>
      </w:r>
      <w:r>
        <w:rPr>
          <w:rFonts w:hint="eastAsia" w:ascii="仿宋_GB2312" w:hAnsi="仿宋_GB2312" w:eastAsia="仿宋_GB2312" w:cs="仿宋_GB2312"/>
          <w:b/>
          <w:bCs/>
          <w:sz w:val="32"/>
          <w:szCs w:val="32"/>
        </w:rPr>
        <w:t>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（1）指标1：参训人员对培训课程内容满意度100%（</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分）</w:t>
      </w:r>
    </w:p>
    <w:p>
      <w:pPr>
        <w:spacing w:line="360" w:lineRule="auto"/>
        <w:ind w:firstLine="640" w:firstLineChars="200"/>
        <w:rPr>
          <w:rFonts w:ascii="仿宋" w:hAnsi="仿宋" w:eastAsia="仿宋" w:cs="仿宋_GB2312"/>
          <w:sz w:val="32"/>
          <w:szCs w:val="32"/>
        </w:rPr>
      </w:pPr>
      <w:r>
        <w:rPr>
          <w:rFonts w:hint="eastAsia" w:ascii="仿宋_GB2312" w:hAnsi="仿宋" w:eastAsia="仿宋_GB2312" w:cs="方正仿宋_GB2312"/>
          <w:color w:val="000000"/>
          <w:kern w:val="32"/>
          <w:sz w:val="32"/>
          <w:szCs w:val="32"/>
        </w:rPr>
        <w:t>随机抽取参训人员进行调查，评价课程内容设置的合理性、科学性以及实用性，根据评分规则，此项得分</w:t>
      </w:r>
      <w:r>
        <w:rPr>
          <w:rFonts w:hint="eastAsia" w:ascii="仿宋_GB2312" w:hAnsi="仿宋" w:eastAsia="仿宋_GB2312" w:cs="方正仿宋_GB2312"/>
          <w:color w:val="000000"/>
          <w:kern w:val="32"/>
          <w:sz w:val="32"/>
          <w:szCs w:val="32"/>
          <w:lang w:val="en-US" w:eastAsia="zh-CN"/>
        </w:rPr>
        <w:t>4</w:t>
      </w:r>
      <w:r>
        <w:rPr>
          <w:rFonts w:hint="eastAsia" w:ascii="仿宋_GB2312" w:hAnsi="仿宋" w:eastAsia="仿宋_GB2312" w:cs="方正仿宋_GB2312"/>
          <w:color w:val="000000"/>
          <w:kern w:val="32"/>
          <w:sz w:val="32"/>
          <w:szCs w:val="32"/>
        </w:rPr>
        <w:t>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（2）指标2：宣传法律法规内容覆盖程度达90%（</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分）</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所宣传的法律法规主要包括：《食品安全法》、《农产品质量安全法》、《行政处罚法》、《药品管理办法》、《医疗器械管理条例》、《化妆品卫生监督管理办法》、《疫苗管理法》等，此项得分</w:t>
      </w:r>
      <w:r>
        <w:rPr>
          <w:rFonts w:hint="eastAsia" w:ascii="仿宋_GB2312" w:hAnsi="仿宋" w:eastAsia="仿宋_GB2312" w:cs="方正仿宋_GB2312"/>
          <w:color w:val="000000"/>
          <w:kern w:val="32"/>
          <w:sz w:val="32"/>
          <w:szCs w:val="32"/>
          <w:lang w:val="en-US" w:eastAsia="zh-CN"/>
        </w:rPr>
        <w:t>4</w:t>
      </w:r>
      <w:r>
        <w:rPr>
          <w:rFonts w:hint="eastAsia" w:ascii="仿宋_GB2312" w:hAnsi="仿宋" w:eastAsia="仿宋_GB2312" w:cs="方正仿宋_GB2312"/>
          <w:color w:val="000000"/>
          <w:kern w:val="32"/>
          <w:sz w:val="32"/>
          <w:szCs w:val="32"/>
        </w:rPr>
        <w:t>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（3）指标3：不合格食品药品核查处置率95%（</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分）</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共完成市级抽检任务药品执法抽验（自选品种）30批次，化妆品护肤类3批次、发用类3批次、，食品执法抽验（自选品种）300批次。完成食品药品核查处置390件，食品相关缺陷产品、不合格产品的召回、核查、协查共418起。此项得分</w:t>
      </w:r>
      <w:r>
        <w:rPr>
          <w:rFonts w:hint="eastAsia" w:ascii="仿宋_GB2312" w:hAnsi="仿宋" w:eastAsia="仿宋_GB2312" w:cs="方正仿宋_GB2312"/>
          <w:color w:val="000000"/>
          <w:kern w:val="32"/>
          <w:sz w:val="32"/>
          <w:szCs w:val="32"/>
          <w:lang w:val="en-US" w:eastAsia="zh-CN"/>
        </w:rPr>
        <w:t>4</w:t>
      </w:r>
      <w:r>
        <w:rPr>
          <w:rFonts w:hint="eastAsia" w:ascii="仿宋_GB2312" w:hAnsi="仿宋" w:eastAsia="仿宋_GB2312" w:cs="方正仿宋_GB2312"/>
          <w:color w:val="000000"/>
          <w:kern w:val="32"/>
          <w:sz w:val="32"/>
          <w:szCs w:val="32"/>
        </w:rPr>
        <w:t>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（4）指标4：重大活动餐饮保障任务完成率100%（</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分）</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全年参与保障任务20余起，实现应保尽保。保障用餐人数2.5万人，快检数量1000件，快检合格率为99.8%。该项指标得</w:t>
      </w:r>
      <w:r>
        <w:rPr>
          <w:rFonts w:hint="eastAsia" w:ascii="仿宋_GB2312" w:hAnsi="仿宋" w:eastAsia="仿宋_GB2312" w:cs="方正仿宋_GB2312"/>
          <w:color w:val="000000"/>
          <w:kern w:val="32"/>
          <w:sz w:val="32"/>
          <w:szCs w:val="32"/>
          <w:lang w:val="en-US" w:eastAsia="zh-CN"/>
        </w:rPr>
        <w:t>4</w:t>
      </w:r>
      <w:r>
        <w:rPr>
          <w:rFonts w:hint="eastAsia" w:ascii="仿宋_GB2312" w:hAnsi="仿宋" w:eastAsia="仿宋_GB2312" w:cs="方正仿宋_GB2312"/>
          <w:color w:val="000000"/>
          <w:kern w:val="32"/>
          <w:sz w:val="32"/>
          <w:szCs w:val="32"/>
        </w:rPr>
        <w:t>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3.产出时效（</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（1）指标1：所有指标均于2020年年末完成（</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分）</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全年共完成一次稽查人员培训、一次法律法规宣传，执行20余起餐饮保障任务，查处不合格食品药品案件40余起。因法律法规宣传未达年初预定目标，根据评分标准，此项得分</w:t>
      </w:r>
      <w:r>
        <w:rPr>
          <w:rFonts w:hint="eastAsia" w:ascii="仿宋_GB2312" w:hAnsi="仿宋" w:eastAsia="仿宋_GB2312" w:cs="方正仿宋_GB2312"/>
          <w:color w:val="000000"/>
          <w:kern w:val="32"/>
          <w:sz w:val="32"/>
          <w:szCs w:val="32"/>
          <w:lang w:val="en-US" w:eastAsia="zh-CN"/>
        </w:rPr>
        <w:t>3.2</w:t>
      </w:r>
      <w:r>
        <w:rPr>
          <w:rFonts w:hint="eastAsia" w:ascii="仿宋_GB2312" w:hAnsi="仿宋" w:eastAsia="仿宋_GB2312" w:cs="方正仿宋_GB2312"/>
          <w:color w:val="000000"/>
          <w:kern w:val="32"/>
          <w:sz w:val="32"/>
          <w:szCs w:val="32"/>
        </w:rPr>
        <w:t>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4.产出成本（</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（1）指标1：总体费用支出金额在预算金额标准上下5%浮动（</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分）</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全年项目支出42.56万元，未超出年初预算金额，此项得</w:t>
      </w:r>
      <w:r>
        <w:rPr>
          <w:rFonts w:hint="eastAsia" w:ascii="仿宋_GB2312" w:hAnsi="仿宋" w:eastAsia="仿宋_GB2312" w:cs="方正仿宋_GB2312"/>
          <w:color w:val="000000"/>
          <w:kern w:val="32"/>
          <w:sz w:val="32"/>
          <w:szCs w:val="32"/>
          <w:lang w:val="en-US" w:eastAsia="zh-CN"/>
        </w:rPr>
        <w:t>4</w:t>
      </w:r>
      <w:r>
        <w:rPr>
          <w:rFonts w:hint="eastAsia" w:ascii="仿宋_GB2312" w:hAnsi="仿宋" w:eastAsia="仿宋_GB2312" w:cs="方正仿宋_GB2312"/>
          <w:color w:val="000000"/>
          <w:kern w:val="32"/>
          <w:sz w:val="32"/>
          <w:szCs w:val="32"/>
        </w:rPr>
        <w:t>分。</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（四）项目效益情况（20分）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1.社会效益（8分）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（1）指标1：食品药品法律法规宣传区域覆盖程度95%（4分）</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受疫情影响，食品药品法律法规宣传次数未达到预定目标，覆盖范围只达到预计覆盖区划数的60%，此项得分2.4分。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（2）指标2：重大食品药品安全事故0起（4分）</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全年未出现重大食品药品安全事故，此项得分4分。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2.可持续影响指标（12分）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（1）指标1：参训执法稽查人员考核通过率95%（4分）</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11月份的执法稽查培训，稽查局对参训人员进行了考核，考核通过率达到98%，此项得分4分。</w:t>
      </w:r>
    </w:p>
    <w:p>
      <w:pPr>
        <w:ind w:firstLine="640"/>
        <w:rPr>
          <w:rFonts w:ascii="仿宋" w:hAnsi="仿宋" w:cs="仿宋_GB2312"/>
          <w:sz w:val="32"/>
          <w:szCs w:val="32"/>
        </w:rPr>
      </w:pPr>
      <w:r>
        <w:rPr>
          <w:rFonts w:hint="eastAsia" w:ascii="仿宋_GB2312" w:hAnsi="仿宋_GB2312" w:eastAsia="仿宋_GB2312" w:cs="仿宋_GB2312"/>
          <w:b/>
          <w:bCs/>
          <w:sz w:val="32"/>
          <w:szCs w:val="32"/>
        </w:rPr>
        <w:t>（2）指标2：重大活动餐安全事故0起（4分）</w:t>
      </w:r>
    </w:p>
    <w:p>
      <w:pPr>
        <w:spacing w:line="360" w:lineRule="auto"/>
        <w:ind w:firstLine="640" w:firstLineChars="20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全年执行20余起重大活动餐饮保障任务，均按照任务要求保质保量完成保障工作，未出现安全事故。此项得分4分。</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（3）指标3：食品药品法律法规宣传知晓率95%（4分）</w:t>
      </w:r>
    </w:p>
    <w:p>
      <w:pPr>
        <w:ind w:firstLine="640"/>
        <w:rPr>
          <w:rFonts w:ascii="仿宋" w:hAnsi="仿宋" w:cs="仿宋_GB2312"/>
          <w:sz w:val="32"/>
          <w:szCs w:val="32"/>
        </w:rPr>
      </w:pPr>
      <w:r>
        <w:rPr>
          <w:rFonts w:hint="eastAsia" w:ascii="仿宋_GB2312" w:hAnsi="仿宋" w:eastAsia="仿宋_GB2312" w:cs="方正仿宋_GB2312"/>
          <w:color w:val="000000"/>
          <w:kern w:val="32"/>
          <w:sz w:val="32"/>
          <w:szCs w:val="32"/>
        </w:rPr>
        <w:t>在已进行宣传的区域内，随机抽取接受宣传对象进行问卷调查，经调查发现，仅有60%的受访人员知晓相应的宣传及内容，此项得分2.4分。</w:t>
      </w:r>
    </w:p>
    <w:p>
      <w:pPr>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（五）项目满意度（10分）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rPr>
        <w:t xml:space="preserve"> </w:t>
      </w:r>
      <w:r>
        <w:rPr>
          <w:rFonts w:hint="eastAsia" w:ascii="仿宋_GB2312" w:hAnsi="仿宋_GB2312" w:eastAsia="仿宋_GB2312" w:cs="仿宋_GB2312"/>
          <w:b/>
          <w:bCs/>
          <w:sz w:val="32"/>
          <w:szCs w:val="32"/>
        </w:rPr>
        <w:t>社会公众或服务对象满意度（5分）</w:t>
      </w:r>
    </w:p>
    <w:p>
      <w:pPr>
        <w:spacing w:line="360" w:lineRule="auto"/>
        <w:ind w:firstLine="643" w:firstLineChars="200"/>
        <w:rPr>
          <w:rFonts w:ascii="仿宋" w:hAnsi="仿宋" w:cs="仿宋_GB2312"/>
          <w:sz w:val="32"/>
          <w:szCs w:val="32"/>
        </w:rPr>
      </w:pPr>
      <w:r>
        <w:rPr>
          <w:rFonts w:hint="eastAsia" w:ascii="仿宋_GB2312" w:hAnsi="仿宋_GB2312" w:eastAsia="仿宋_GB2312" w:cs="仿宋_GB2312"/>
          <w:b/>
          <w:bCs/>
          <w:sz w:val="32"/>
          <w:szCs w:val="32"/>
        </w:rPr>
        <w:t>（1）指标1：群众满意度（5分）</w:t>
      </w:r>
    </w:p>
    <w:p>
      <w:pPr>
        <w:ind w:firstLine="640"/>
        <w:rPr>
          <w:rFonts w:ascii="仿宋" w:hAnsi="仿宋" w:eastAsia="仿宋" w:cs="仿宋_GB2312"/>
          <w:sz w:val="32"/>
          <w:szCs w:val="32"/>
        </w:rPr>
      </w:pPr>
      <w:r>
        <w:rPr>
          <w:rFonts w:hint="eastAsia" w:ascii="仿宋" w:hAnsi="仿宋" w:cs="仿宋_GB2312"/>
          <w:sz w:val="32"/>
          <w:szCs w:val="32"/>
        </w:rPr>
        <w:t>经</w:t>
      </w:r>
      <w:r>
        <w:rPr>
          <w:rFonts w:hint="eastAsia" w:ascii="仿宋" w:hAnsi="仿宋" w:eastAsia="仿宋" w:cs="仿宋_GB2312"/>
          <w:sz w:val="32"/>
          <w:szCs w:val="32"/>
        </w:rPr>
        <w:t>问卷调查，群众满意度为</w:t>
      </w:r>
      <w:r>
        <w:rPr>
          <w:rFonts w:hint="eastAsia" w:ascii="仿宋" w:hAnsi="仿宋" w:cs="仿宋_GB2312"/>
          <w:sz w:val="32"/>
          <w:szCs w:val="32"/>
        </w:rPr>
        <w:t>95</w:t>
      </w:r>
      <w:r>
        <w:rPr>
          <w:rFonts w:hint="eastAsia" w:ascii="仿宋" w:hAnsi="仿宋" w:eastAsia="仿宋" w:cs="仿宋_GB2312"/>
          <w:sz w:val="32"/>
          <w:szCs w:val="32"/>
        </w:rPr>
        <w:t>%，得</w:t>
      </w:r>
      <w:r>
        <w:rPr>
          <w:rFonts w:hint="eastAsia" w:ascii="仿宋" w:hAnsi="仿宋" w:cs="仿宋_GB2312"/>
          <w:sz w:val="32"/>
          <w:szCs w:val="32"/>
        </w:rPr>
        <w:t>5</w:t>
      </w:r>
      <w:r>
        <w:rPr>
          <w:rFonts w:hint="eastAsia" w:ascii="仿宋" w:hAnsi="仿宋" w:eastAsia="仿宋" w:cs="仿宋_GB2312"/>
          <w:sz w:val="32"/>
          <w:szCs w:val="32"/>
        </w:rPr>
        <w:t>分。</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（2）指标2：上级部门满意度（5分）</w:t>
      </w:r>
    </w:p>
    <w:p>
      <w:pPr>
        <w:ind w:firstLine="64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未受到上级部门问责，得5分。</w:t>
      </w:r>
    </w:p>
    <w:p>
      <w:pPr>
        <w:pStyle w:val="3"/>
        <w:spacing w:before="156" w:after="156"/>
      </w:pPr>
      <w:bookmarkStart w:id="18" w:name="_Toc510971229"/>
      <w:r>
        <w:rPr>
          <w:rFonts w:hint="eastAsia"/>
        </w:rPr>
        <w:t>五、</w:t>
      </w:r>
      <w:bookmarkEnd w:id="18"/>
      <w:r>
        <w:rPr>
          <w:rFonts w:hint="eastAsia"/>
        </w:rPr>
        <w:t>主要经验及做法、存在的问题和改进措施</w:t>
      </w:r>
    </w:p>
    <w:p>
      <w:pPr>
        <w:ind w:firstLine="64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南昌市食品药品安全稽查支队高度重视2020年食品药品安全稽查工作，精心组织，细心安排，完成了相关稽查工作，保障了与会者饮食用药安全，提升了南昌综合形象，增强了社会公众对食品的安全信心，但也存在一些问题，如财务管理方面，需进一步完善相应的财务管理制度，丰富财务检查等措施，尤其应注重计划的编制和执行，应当将工作计划和财务预算更加有效的结合。避免计划在时间、人力上的分配不均。强化财务预算与单位职责的紧密联系，努力促进业财融合。形成以财务支撑业务，以业务推动财务的双向互动的局面。</w:t>
      </w:r>
    </w:p>
    <w:p>
      <w:pPr>
        <w:ind w:firstLine="640"/>
        <w:rPr>
          <w:rFonts w:ascii="仿宋_GB2312" w:hAnsi="仿宋" w:eastAsia="仿宋_GB2312" w:cs="方正仿宋_GB2312"/>
          <w:color w:val="000000"/>
          <w:kern w:val="32"/>
          <w:sz w:val="32"/>
          <w:szCs w:val="32"/>
        </w:rPr>
      </w:pPr>
      <w:r>
        <w:rPr>
          <w:rFonts w:hint="eastAsia" w:ascii="仿宋_GB2312" w:hAnsi="仿宋" w:eastAsia="仿宋_GB2312" w:cs="方正仿宋_GB2312"/>
          <w:color w:val="000000"/>
          <w:kern w:val="32"/>
          <w:sz w:val="32"/>
          <w:szCs w:val="32"/>
        </w:rPr>
        <w:t>针对上述问题，今后，市食品药品安全稽查支队领导班组应做到早谋划、早安排，加快项目实施计划的制定过程，争取使资金使用目的更加明确，并提高单位对财务管理方面特别是资金使用方面的监管。</w:t>
      </w:r>
    </w:p>
    <w:p>
      <w:pPr>
        <w:pStyle w:val="3"/>
        <w:spacing w:before="156" w:after="156"/>
        <w:rPr>
          <w:rFonts w:eastAsia="仿宋"/>
        </w:rPr>
      </w:pPr>
      <w:bookmarkStart w:id="19" w:name="_Toc510971230"/>
      <w:r>
        <w:rPr>
          <w:rFonts w:hint="eastAsia"/>
        </w:rPr>
        <w:t>六、</w:t>
      </w:r>
      <w:bookmarkEnd w:id="19"/>
      <w:r>
        <w:rPr>
          <w:rFonts w:hint="eastAsia"/>
        </w:rPr>
        <w:t>相关建议</w:t>
      </w:r>
    </w:p>
    <w:p>
      <w:pPr>
        <w:ind w:firstLine="640"/>
        <w:rPr>
          <w:rFonts w:ascii="仿宋_GB2312" w:eastAsia="仿宋_GB2312"/>
          <w:color w:val="000000"/>
          <w:sz w:val="32"/>
          <w:szCs w:val="32"/>
        </w:rPr>
      </w:pPr>
      <w:r>
        <w:rPr>
          <w:rFonts w:hint="eastAsia" w:ascii="仿宋_GB2312" w:eastAsia="仿宋_GB2312"/>
          <w:color w:val="000000"/>
          <w:sz w:val="32"/>
          <w:szCs w:val="32"/>
        </w:rPr>
        <w:t>无</w:t>
      </w:r>
    </w:p>
    <w:p>
      <w:pPr>
        <w:pStyle w:val="3"/>
        <w:spacing w:before="156" w:after="156"/>
        <w:rPr>
          <w:rFonts w:eastAsia="仿宋"/>
          <w:color w:val="FF0000"/>
        </w:rPr>
      </w:pPr>
      <w:r>
        <w:rPr>
          <w:rFonts w:hint="eastAsia"/>
        </w:rPr>
        <w:t>七、其他需说明的问题</w:t>
      </w:r>
    </w:p>
    <w:p>
      <w:pPr>
        <w:ind w:firstLine="640"/>
        <w:rPr>
          <w:rFonts w:hint="default" w:ascii="仿宋_GB2312" w:hAnsi="仿宋" w:eastAsia="仿宋_GB2312" w:cs="方正仿宋_GB2312"/>
          <w:color w:val="000000"/>
          <w:kern w:val="32"/>
          <w:sz w:val="32"/>
          <w:szCs w:val="32"/>
          <w:lang w:val="en-US" w:eastAsia="zh-CN"/>
        </w:rPr>
      </w:pPr>
      <w:r>
        <w:rPr>
          <w:rFonts w:hint="eastAsia" w:ascii="仿宋_GB2312" w:hAnsi="仿宋" w:eastAsia="仿宋_GB2312" w:cs="方正仿宋_GB2312"/>
          <w:color w:val="000000"/>
          <w:kern w:val="32"/>
          <w:sz w:val="32"/>
          <w:szCs w:val="32"/>
          <w:lang w:val="en-US" w:eastAsia="zh-CN"/>
        </w:rPr>
        <w:t>2020年，南昌市食品药品稽查支队并入南昌市市场监督管理执法稽查局，单位职能出现较大变化。项目目标、项目指标不能较全面的反映南昌市食品药品稽查支队的实际工作效果，部分实际工作与项目内容关联度较低。绩效目标、绩效指标的设置存在一定的固化性，缺乏事中调整的相关机制。</w:t>
      </w:r>
    </w:p>
    <w:p>
      <w:pPr>
        <w:rPr>
          <w:color w:val="FF0000"/>
        </w:rPr>
      </w:pPr>
    </w:p>
    <w:p>
      <w:pPr>
        <w:rPr>
          <w:rFonts w:ascii="黑体" w:eastAsia="黑体"/>
          <w:color w:val="000000"/>
          <w:sz w:val="18"/>
          <w:szCs w:val="18"/>
        </w:rPr>
      </w:pPr>
    </w:p>
    <w:p>
      <w:pPr>
        <w:ind w:firstLine="720" w:firstLineChars="400"/>
        <w:rPr>
          <w:rFonts w:ascii="黑体" w:eastAsia="黑体"/>
          <w:color w:val="000000"/>
          <w:sz w:val="18"/>
          <w:szCs w:val="18"/>
        </w:rPr>
      </w:pPr>
    </w:p>
    <w:p>
      <w:pPr>
        <w:ind w:firstLine="720" w:firstLineChars="400"/>
        <w:rPr>
          <w:rFonts w:ascii="黑体" w:eastAsia="黑体"/>
          <w:color w:val="000000"/>
          <w:sz w:val="18"/>
          <w:szCs w:val="18"/>
        </w:rPr>
      </w:pPr>
    </w:p>
    <w:p>
      <w:pPr>
        <w:tabs>
          <w:tab w:val="left" w:pos="1131"/>
        </w:tabs>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A84CA"/>
    <w:multiLevelType w:val="singleLevel"/>
    <w:tmpl w:val="860A84CA"/>
    <w:lvl w:ilvl="0" w:tentative="0">
      <w:start w:val="2"/>
      <w:numFmt w:val="chineseCounting"/>
      <w:suff w:val="nothing"/>
      <w:lvlText w:val="%1、"/>
      <w:lvlJc w:val="left"/>
      <w:rPr>
        <w:rFonts w:hint="eastAsia"/>
      </w:rPr>
    </w:lvl>
  </w:abstractNum>
  <w:abstractNum w:abstractNumId="1">
    <w:nsid w:val="B68270D3"/>
    <w:multiLevelType w:val="singleLevel"/>
    <w:tmpl w:val="B68270D3"/>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A540C17"/>
    <w:rsid w:val="0010103B"/>
    <w:rsid w:val="00B15E5A"/>
    <w:rsid w:val="00D1565E"/>
    <w:rsid w:val="031E748A"/>
    <w:rsid w:val="05C8152F"/>
    <w:rsid w:val="0B0A7335"/>
    <w:rsid w:val="15610299"/>
    <w:rsid w:val="205F65C2"/>
    <w:rsid w:val="23B04CB0"/>
    <w:rsid w:val="23D32BC8"/>
    <w:rsid w:val="24781BBF"/>
    <w:rsid w:val="24E03ACF"/>
    <w:rsid w:val="28D825CB"/>
    <w:rsid w:val="2A540C17"/>
    <w:rsid w:val="2AEF0DA4"/>
    <w:rsid w:val="2F9E58C0"/>
    <w:rsid w:val="2FDE1C20"/>
    <w:rsid w:val="30D461F3"/>
    <w:rsid w:val="35E77AB3"/>
    <w:rsid w:val="3945243E"/>
    <w:rsid w:val="3C315407"/>
    <w:rsid w:val="3DD120E5"/>
    <w:rsid w:val="43481358"/>
    <w:rsid w:val="47FE35A2"/>
    <w:rsid w:val="48955268"/>
    <w:rsid w:val="48D746C4"/>
    <w:rsid w:val="4A854D24"/>
    <w:rsid w:val="534C64E4"/>
    <w:rsid w:val="54E66898"/>
    <w:rsid w:val="554814E0"/>
    <w:rsid w:val="55B0678C"/>
    <w:rsid w:val="58EF6F28"/>
    <w:rsid w:val="5A4141A4"/>
    <w:rsid w:val="5A4F1EF3"/>
    <w:rsid w:val="5B410848"/>
    <w:rsid w:val="6097636F"/>
    <w:rsid w:val="61DA4266"/>
    <w:rsid w:val="633F5F02"/>
    <w:rsid w:val="6D7877A2"/>
    <w:rsid w:val="71F343CB"/>
    <w:rsid w:val="72E74051"/>
    <w:rsid w:val="784F3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9"/>
    <w:pPr>
      <w:keepNext/>
      <w:keepLines/>
      <w:spacing w:line="576" w:lineRule="auto"/>
      <w:jc w:val="center"/>
      <w:outlineLvl w:val="0"/>
    </w:pPr>
    <w:rPr>
      <w:b/>
      <w:kern w:val="44"/>
      <w:sz w:val="44"/>
    </w:rPr>
  </w:style>
  <w:style w:type="paragraph" w:styleId="3">
    <w:name w:val="heading 2"/>
    <w:basedOn w:val="1"/>
    <w:next w:val="1"/>
    <w:unhideWhenUsed/>
    <w:qFormat/>
    <w:uiPriority w:val="9"/>
    <w:pPr>
      <w:keepNext/>
      <w:keepLines/>
      <w:spacing w:beforeLines="50" w:afterLines="50"/>
      <w:jc w:val="left"/>
      <w:outlineLvl w:val="1"/>
    </w:pPr>
    <w:rPr>
      <w:rFonts w:ascii="仿宋" w:hAnsi="仿宋" w:cstheme="majorBidi"/>
      <w:b/>
      <w:bCs/>
      <w:sz w:val="32"/>
      <w:szCs w:val="32"/>
    </w:rPr>
  </w:style>
  <w:style w:type="paragraph" w:styleId="4">
    <w:name w:val="heading 3"/>
    <w:basedOn w:val="1"/>
    <w:next w:val="1"/>
    <w:unhideWhenUsed/>
    <w:qFormat/>
    <w:uiPriority w:val="9"/>
    <w:pPr>
      <w:keepNext/>
      <w:keepLines/>
      <w:outlineLvl w:val="2"/>
    </w:pPr>
    <w:rPr>
      <w:b/>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unhideWhenUsed/>
    <w:qFormat/>
    <w:uiPriority w:val="99"/>
    <w:pPr>
      <w:tabs>
        <w:tab w:val="center" w:pos="4320"/>
        <w:tab w:val="right" w:pos="8640"/>
      </w:tabs>
      <w:snapToGrid w:val="0"/>
      <w:jc w:val="left"/>
    </w:pPr>
    <w:rPr>
      <w:sz w:val="18"/>
      <w:szCs w:val="18"/>
    </w:rPr>
  </w:style>
  <w:style w:type="paragraph" w:styleId="6">
    <w:name w:val="header"/>
    <w:basedOn w:val="1"/>
    <w:unhideWhenUsed/>
    <w:qFormat/>
    <w:uiPriority w:val="99"/>
    <w:pPr>
      <w:pBdr>
        <w:bottom w:val="single" w:color="auto" w:sz="6" w:space="1"/>
      </w:pBdr>
      <w:tabs>
        <w:tab w:val="center" w:pos="4320"/>
        <w:tab w:val="right" w:pos="8640"/>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1430</Words>
  <Characters>8155</Characters>
  <Lines>67</Lines>
  <Paragraphs>19</Paragraphs>
  <TotalTime>130</TotalTime>
  <ScaleCrop>false</ScaleCrop>
  <LinksUpToDate>false</LinksUpToDate>
  <CharactersWithSpaces>9566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2021-05-20T03:08:00Z</dcterms:created>
  <dc:creator>王乐</dc:creator>
  <cp:lastModifiedBy>王乐</cp:lastModifiedBy>
  <cp:lastPrinted>2021-05-24T02:04:00Z</cp:lastPrinted>
  <dcterms:modified xsi:type="dcterms:W3CDTF">2021-07-28T06:30:38Z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902AE1C71A2D41A4A6699EB2BB47E42C</vt:lpwstr>
  </property>
</Properties>
</file>