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Cs/>
          <w:sz w:val="44"/>
          <w:szCs w:val="44"/>
          <w:highlight w:val="none"/>
        </w:rPr>
      </w:pPr>
      <w:r>
        <w:rPr>
          <w:rFonts w:hint="eastAsia" w:ascii="方正小标宋简体" w:hAnsi="宋体" w:eastAsia="方正小标宋简体" w:cs="Arial"/>
          <w:bCs/>
          <w:sz w:val="44"/>
          <w:szCs w:val="44"/>
          <w:highlight w:val="none"/>
        </w:rPr>
        <w:t>知识产权项目支出绩效评价报告</w:t>
      </w:r>
    </w:p>
    <w:p>
      <w:pPr>
        <w:jc w:val="left"/>
        <w:rPr>
          <w:rFonts w:hint="eastAsia" w:ascii="黑体" w:hAnsi="宋体" w:eastAsia="黑体" w:cs="Arial"/>
          <w:bCs/>
          <w:sz w:val="32"/>
          <w:szCs w:val="32"/>
          <w:highlight w:val="none"/>
        </w:rPr>
      </w:pPr>
    </w:p>
    <w:p>
      <w:pPr>
        <w:spacing w:line="600" w:lineRule="exact"/>
        <w:jc w:val="left"/>
        <w:rPr>
          <w:rFonts w:hint="eastAsia" w:ascii="黑体" w:hAnsi="黑体" w:eastAsia="黑体" w:cs="黑体"/>
          <w:bCs/>
          <w:sz w:val="32"/>
          <w:szCs w:val="32"/>
          <w:highlight w:val="none"/>
          <w:u w:val="single"/>
        </w:rPr>
      </w:pPr>
      <w:r>
        <w:rPr>
          <w:rFonts w:hint="eastAsia" w:ascii="黑体" w:hAnsi="宋体" w:eastAsia="黑体" w:cs="Arial"/>
          <w:bCs/>
          <w:sz w:val="32"/>
          <w:szCs w:val="32"/>
          <w:highlight w:val="none"/>
        </w:rPr>
        <w:t>项目名称：</w:t>
      </w:r>
      <w:r>
        <w:rPr>
          <w:rFonts w:hint="eastAsia" w:ascii="黑体" w:hAnsi="黑体" w:eastAsia="黑体" w:cs="黑体"/>
          <w:bCs/>
          <w:sz w:val="32"/>
          <w:szCs w:val="32"/>
          <w:highlight w:val="none"/>
          <w:u w:val="single"/>
        </w:rPr>
        <w:t xml:space="preserve">   20</w:t>
      </w:r>
      <w:r>
        <w:rPr>
          <w:rFonts w:hint="eastAsia" w:ascii="黑体" w:hAnsi="黑体" w:eastAsia="黑体" w:cs="黑体"/>
          <w:bCs/>
          <w:sz w:val="32"/>
          <w:szCs w:val="32"/>
          <w:highlight w:val="none"/>
          <w:u w:val="single"/>
          <w:lang w:val="en-US" w:eastAsia="zh-CN"/>
        </w:rPr>
        <w:t>20</w:t>
      </w:r>
      <w:r>
        <w:rPr>
          <w:rFonts w:hint="eastAsia" w:ascii="黑体" w:hAnsi="黑体" w:eastAsia="黑体" w:cs="黑体"/>
          <w:bCs/>
          <w:sz w:val="32"/>
          <w:szCs w:val="32"/>
          <w:highlight w:val="none"/>
          <w:u w:val="single"/>
        </w:rPr>
        <w:t xml:space="preserve">年度南昌市知识产权专项资金          </w:t>
      </w:r>
    </w:p>
    <w:p>
      <w:pPr>
        <w:spacing w:line="600" w:lineRule="exact"/>
        <w:jc w:val="left"/>
        <w:rPr>
          <w:rFonts w:hint="eastAsia" w:ascii="黑体" w:hAnsi="宋体" w:eastAsia="黑体" w:cs="Arial"/>
          <w:bCs/>
          <w:sz w:val="32"/>
          <w:szCs w:val="32"/>
          <w:highlight w:val="none"/>
        </w:rPr>
      </w:pPr>
    </w:p>
    <w:p>
      <w:pPr>
        <w:spacing w:line="600" w:lineRule="exact"/>
        <w:jc w:val="left"/>
        <w:rPr>
          <w:rFonts w:hint="eastAsia" w:ascii="黑体" w:hAnsi="宋体" w:eastAsia="黑体" w:cs="Arial"/>
          <w:bCs/>
          <w:sz w:val="32"/>
          <w:szCs w:val="32"/>
          <w:highlight w:val="none"/>
        </w:rPr>
      </w:pPr>
      <w:r>
        <w:rPr>
          <w:rFonts w:hint="eastAsia" w:ascii="黑体" w:hAnsi="宋体" w:eastAsia="黑体" w:cs="Arial"/>
          <w:bCs/>
          <w:sz w:val="32"/>
          <w:szCs w:val="32"/>
          <w:highlight w:val="none"/>
        </w:rPr>
        <w:t>项目类别：</w:t>
      </w:r>
      <w:r>
        <w:rPr>
          <w:rFonts w:hint="eastAsia" w:ascii="黑体" w:hAnsi="黑体" w:eastAsia="黑体" w:cs="黑体"/>
          <w:bCs/>
          <w:sz w:val="32"/>
          <w:szCs w:val="32"/>
          <w:highlight w:val="none"/>
          <w:u w:val="single"/>
        </w:rPr>
        <w:t xml:space="preserve">    </w:t>
      </w:r>
      <w:r>
        <w:rPr>
          <w:rFonts w:hint="eastAsia" w:ascii="黑体" w:hAnsi="黑体" w:eastAsia="黑体" w:cs="黑体"/>
          <w:bCs/>
          <w:sz w:val="32"/>
          <w:szCs w:val="32"/>
          <w:highlight w:val="none"/>
          <w:u w:val="single"/>
          <w:lang w:val="en-US" w:eastAsia="zh-CN"/>
        </w:rPr>
        <w:t>社会事业类</w:t>
      </w:r>
      <w:r>
        <w:rPr>
          <w:rFonts w:hint="eastAsia" w:ascii="黑体" w:hAnsi="黑体" w:eastAsia="黑体" w:cs="黑体"/>
          <w:bCs/>
          <w:sz w:val="32"/>
          <w:szCs w:val="32"/>
          <w:highlight w:val="none"/>
          <w:u w:val="single"/>
        </w:rPr>
        <w:t xml:space="preserve">                       </w:t>
      </w:r>
    </w:p>
    <w:p>
      <w:pPr>
        <w:spacing w:line="600" w:lineRule="exact"/>
        <w:jc w:val="left"/>
        <w:rPr>
          <w:rFonts w:hint="eastAsia" w:ascii="黑体" w:hAnsi="宋体" w:eastAsia="黑体" w:cs="Arial"/>
          <w:bCs/>
          <w:sz w:val="32"/>
          <w:szCs w:val="32"/>
          <w:highlight w:val="none"/>
        </w:rPr>
      </w:pPr>
    </w:p>
    <w:p>
      <w:pPr>
        <w:spacing w:line="600" w:lineRule="exact"/>
        <w:jc w:val="left"/>
        <w:rPr>
          <w:rFonts w:hint="eastAsia" w:ascii="黑体" w:hAnsi="宋体" w:eastAsia="黑体" w:cs="Arial"/>
          <w:bCs/>
          <w:sz w:val="32"/>
          <w:szCs w:val="32"/>
          <w:highlight w:val="none"/>
        </w:rPr>
      </w:pPr>
      <w:r>
        <w:rPr>
          <w:rFonts w:hint="eastAsia" w:ascii="黑体" w:hAnsi="宋体" w:eastAsia="黑体" w:cs="Arial"/>
          <w:bCs/>
          <w:sz w:val="32"/>
          <w:szCs w:val="32"/>
          <w:highlight w:val="none"/>
        </w:rPr>
        <w:t>实施单位：</w:t>
      </w:r>
      <w:r>
        <w:rPr>
          <w:rFonts w:hint="eastAsia" w:ascii="黑体" w:hAnsi="黑体" w:eastAsia="黑体" w:cs="黑体"/>
          <w:bCs/>
          <w:sz w:val="32"/>
          <w:szCs w:val="32"/>
          <w:highlight w:val="none"/>
          <w:u w:val="single"/>
        </w:rPr>
        <w:t xml:space="preserve">   南昌市市场监督管理局                     </w:t>
      </w:r>
    </w:p>
    <w:p>
      <w:pPr>
        <w:spacing w:line="600" w:lineRule="exact"/>
        <w:jc w:val="left"/>
        <w:rPr>
          <w:rFonts w:hint="eastAsia" w:ascii="黑体" w:hAnsi="宋体" w:eastAsia="黑体" w:cs="Arial"/>
          <w:bCs/>
          <w:sz w:val="32"/>
          <w:szCs w:val="32"/>
          <w:highlight w:val="none"/>
        </w:rPr>
      </w:pPr>
    </w:p>
    <w:p>
      <w:pPr>
        <w:spacing w:line="600" w:lineRule="exact"/>
        <w:jc w:val="left"/>
        <w:rPr>
          <w:rFonts w:ascii="黑体" w:hAnsi="宋体" w:eastAsia="黑体" w:cs="Arial"/>
          <w:bCs/>
          <w:sz w:val="32"/>
          <w:szCs w:val="32"/>
          <w:highlight w:val="none"/>
        </w:rPr>
      </w:pPr>
      <w:r>
        <w:rPr>
          <w:rFonts w:hint="eastAsia" w:ascii="黑体" w:hAnsi="宋体" w:eastAsia="黑体" w:cs="Arial"/>
          <w:bCs/>
          <w:sz w:val="32"/>
          <w:szCs w:val="32"/>
          <w:highlight w:val="none"/>
        </w:rPr>
        <w:t>主管部门：</w:t>
      </w:r>
      <w:r>
        <w:rPr>
          <w:rFonts w:hint="eastAsia" w:ascii="黑体" w:hAnsi="黑体" w:eastAsia="黑体" w:cs="黑体"/>
          <w:bCs/>
          <w:sz w:val="32"/>
          <w:szCs w:val="32"/>
          <w:highlight w:val="none"/>
          <w:u w:val="single"/>
        </w:rPr>
        <w:t xml:space="preserve">   南昌市市场监督管理局        （盖章）     </w:t>
      </w:r>
    </w:p>
    <w:p>
      <w:pPr>
        <w:spacing w:line="600" w:lineRule="exact"/>
        <w:jc w:val="left"/>
        <w:rPr>
          <w:rFonts w:hint="eastAsia" w:ascii="黑体" w:hAnsi="宋体" w:eastAsia="黑体" w:cs="Arial"/>
          <w:bCs/>
          <w:sz w:val="32"/>
          <w:szCs w:val="32"/>
          <w:highlight w:val="none"/>
        </w:rPr>
      </w:pPr>
    </w:p>
    <w:p>
      <w:pPr>
        <w:spacing w:line="600" w:lineRule="exact"/>
        <w:jc w:val="left"/>
        <w:rPr>
          <w:rFonts w:ascii="黑体" w:hAnsi="宋体" w:eastAsia="黑体" w:cs="Arial"/>
          <w:bCs/>
          <w:sz w:val="32"/>
          <w:szCs w:val="32"/>
          <w:highlight w:val="none"/>
        </w:rPr>
      </w:pPr>
      <w:r>
        <w:rPr>
          <w:rFonts w:hint="eastAsia" w:ascii="黑体" w:hAnsi="宋体" w:eastAsia="黑体" w:cs="Arial"/>
          <w:bCs/>
          <w:sz w:val="32"/>
          <w:szCs w:val="32"/>
          <w:highlight w:val="none"/>
        </w:rPr>
        <w:t>评价机构：</w:t>
      </w:r>
      <w:r>
        <w:rPr>
          <w:rFonts w:hint="eastAsia" w:ascii="黑体" w:hAnsi="黑体" w:eastAsia="黑体" w:cs="黑体"/>
          <w:bCs/>
          <w:sz w:val="32"/>
          <w:szCs w:val="32"/>
          <w:highlight w:val="none"/>
          <w:u w:val="single"/>
        </w:rPr>
        <w:t xml:space="preserve">   南昌市市场监督管理局        （盖章）     </w:t>
      </w:r>
    </w:p>
    <w:p>
      <w:pPr>
        <w:spacing w:line="600" w:lineRule="exact"/>
        <w:jc w:val="left"/>
        <w:rPr>
          <w:rFonts w:hint="eastAsia" w:ascii="黑体" w:hAnsi="宋体" w:eastAsia="黑体" w:cs="Arial"/>
          <w:bCs/>
          <w:sz w:val="32"/>
          <w:szCs w:val="32"/>
          <w:highlight w:val="none"/>
        </w:rPr>
      </w:pPr>
    </w:p>
    <w:p>
      <w:pPr>
        <w:spacing w:line="600" w:lineRule="exact"/>
        <w:jc w:val="left"/>
        <w:rPr>
          <w:rFonts w:hint="eastAsia" w:ascii="黑体" w:hAnsi="宋体" w:eastAsia="黑体" w:cs="Arial"/>
          <w:bCs/>
          <w:sz w:val="32"/>
          <w:szCs w:val="32"/>
          <w:highlight w:val="none"/>
        </w:rPr>
      </w:pPr>
      <w:r>
        <w:rPr>
          <w:rFonts w:hint="eastAsia" w:ascii="黑体" w:hAnsi="宋体" w:eastAsia="黑体" w:cs="Arial"/>
          <w:bCs/>
          <w:sz w:val="32"/>
          <w:szCs w:val="32"/>
          <w:highlight w:val="none"/>
        </w:rPr>
        <w:t>评价年度：</w:t>
      </w:r>
      <w:r>
        <w:rPr>
          <w:rFonts w:hint="eastAsia" w:ascii="黑体" w:hAnsi="黑体" w:eastAsia="黑体" w:cs="黑体"/>
          <w:bCs/>
          <w:sz w:val="32"/>
          <w:szCs w:val="32"/>
          <w:highlight w:val="none"/>
          <w:u w:val="single"/>
        </w:rPr>
        <w:t xml:space="preserve">   20</w:t>
      </w:r>
      <w:r>
        <w:rPr>
          <w:rFonts w:hint="eastAsia" w:ascii="黑体" w:hAnsi="黑体" w:eastAsia="黑体" w:cs="黑体"/>
          <w:bCs/>
          <w:sz w:val="32"/>
          <w:szCs w:val="32"/>
          <w:highlight w:val="none"/>
          <w:u w:val="single"/>
          <w:lang w:val="en-US" w:eastAsia="zh-CN"/>
        </w:rPr>
        <w:t>20</w:t>
      </w:r>
      <w:r>
        <w:rPr>
          <w:rFonts w:hint="eastAsia" w:ascii="黑体" w:hAnsi="黑体" w:eastAsia="黑体" w:cs="黑体"/>
          <w:bCs/>
          <w:sz w:val="32"/>
          <w:szCs w:val="32"/>
          <w:highlight w:val="none"/>
          <w:u w:val="single"/>
        </w:rPr>
        <w:t xml:space="preserve">年度                                 </w:t>
      </w:r>
    </w:p>
    <w:p>
      <w:pPr>
        <w:jc w:val="left"/>
        <w:rPr>
          <w:rFonts w:hint="eastAsia" w:ascii="黑体" w:hAnsi="宋体" w:eastAsia="黑体" w:cs="Arial"/>
          <w:bCs/>
          <w:sz w:val="32"/>
          <w:szCs w:val="32"/>
          <w:highlight w:val="none"/>
        </w:rPr>
      </w:pPr>
    </w:p>
    <w:p>
      <w:pPr>
        <w:jc w:val="left"/>
        <w:rPr>
          <w:rFonts w:hint="eastAsia" w:ascii="黑体" w:hAnsi="宋体" w:eastAsia="黑体" w:cs="Arial"/>
          <w:bCs/>
          <w:sz w:val="32"/>
          <w:szCs w:val="32"/>
          <w:highlight w:val="none"/>
        </w:rPr>
      </w:pPr>
    </w:p>
    <w:p>
      <w:pPr>
        <w:rPr>
          <w:rFonts w:hint="eastAsia" w:ascii="黑体" w:hAnsi="宋体" w:eastAsia="黑体" w:cs="Arial"/>
          <w:bCs/>
          <w:sz w:val="32"/>
          <w:szCs w:val="32"/>
          <w:highlight w:val="none"/>
        </w:rPr>
      </w:pPr>
    </w:p>
    <w:p>
      <w:pPr>
        <w:jc w:val="center"/>
        <w:rPr>
          <w:rFonts w:hint="eastAsia" w:ascii="黑体" w:hAnsi="宋体" w:eastAsia="黑体" w:cs="Arial"/>
          <w:bCs/>
          <w:sz w:val="32"/>
          <w:szCs w:val="32"/>
          <w:highlight w:val="none"/>
        </w:rPr>
      </w:pPr>
    </w:p>
    <w:p>
      <w:pPr>
        <w:jc w:val="center"/>
        <w:rPr>
          <w:rFonts w:hint="eastAsia" w:ascii="黑体" w:hAnsi="黑体" w:eastAsia="黑体" w:cs="黑体"/>
          <w:bCs/>
          <w:color w:val="000000"/>
          <w:sz w:val="32"/>
          <w:szCs w:val="32"/>
        </w:rPr>
      </w:pPr>
      <w:r>
        <w:rPr>
          <w:rFonts w:hint="eastAsia" w:ascii="黑体" w:hAnsi="宋体" w:eastAsia="黑体" w:cs="Arial"/>
          <w:bCs/>
          <w:sz w:val="32"/>
          <w:szCs w:val="32"/>
          <w:highlight w:val="none"/>
        </w:rPr>
        <w:t>202</w:t>
      </w:r>
      <w:r>
        <w:rPr>
          <w:rFonts w:hint="eastAsia" w:ascii="黑体" w:hAnsi="宋体" w:eastAsia="黑体" w:cs="Arial"/>
          <w:bCs/>
          <w:sz w:val="32"/>
          <w:szCs w:val="32"/>
          <w:highlight w:val="none"/>
          <w:lang w:val="en-US" w:eastAsia="zh-CN"/>
        </w:rPr>
        <w:t>1</w:t>
      </w:r>
      <w:r>
        <w:rPr>
          <w:rFonts w:hint="eastAsia" w:ascii="黑体" w:hAnsi="宋体" w:eastAsia="黑体" w:cs="Arial"/>
          <w:bCs/>
          <w:sz w:val="32"/>
          <w:szCs w:val="32"/>
          <w:highlight w:val="none"/>
        </w:rPr>
        <w:t xml:space="preserve">年 </w:t>
      </w:r>
      <w:r>
        <w:rPr>
          <w:rFonts w:hint="eastAsia" w:ascii="黑体" w:hAnsi="宋体" w:eastAsia="黑体" w:cs="Arial"/>
          <w:bCs/>
          <w:sz w:val="32"/>
          <w:szCs w:val="32"/>
          <w:highlight w:val="none"/>
          <w:lang w:val="en-US" w:eastAsia="zh-CN"/>
        </w:rPr>
        <w:t>5</w:t>
      </w:r>
      <w:r>
        <w:rPr>
          <w:rFonts w:hint="eastAsia" w:ascii="黑体" w:hAnsi="宋体" w:eastAsia="黑体" w:cs="Arial"/>
          <w:bCs/>
          <w:sz w:val="32"/>
          <w:szCs w:val="32"/>
          <w:highlight w:val="none"/>
        </w:rPr>
        <w:t xml:space="preserve">月 </w:t>
      </w:r>
      <w:r>
        <w:rPr>
          <w:rFonts w:hint="eastAsia" w:ascii="黑体" w:hAnsi="宋体" w:eastAsia="黑体" w:cs="Arial"/>
          <w:bCs/>
          <w:sz w:val="32"/>
          <w:szCs w:val="32"/>
          <w:highlight w:val="none"/>
          <w:lang w:val="en-US" w:eastAsia="zh-CN"/>
        </w:rPr>
        <w:t>24</w:t>
      </w:r>
      <w:r>
        <w:rPr>
          <w:rFonts w:hint="eastAsia" w:ascii="黑体" w:hAnsi="宋体" w:eastAsia="黑体" w:cs="Arial"/>
          <w:bCs/>
          <w:sz w:val="32"/>
          <w:szCs w:val="32"/>
          <w:highlight w:val="none"/>
        </w:rPr>
        <w:t>日</w:t>
      </w:r>
      <w:bookmarkStart w:id="1" w:name="_GoBack"/>
      <w:bookmarkEnd w:id="1"/>
      <w:r>
        <w:rPr>
          <w:rFonts w:hint="eastAsia" w:ascii="黑体" w:hAnsi="黑体" w:eastAsia="黑体" w:cs="黑体"/>
          <w:bCs/>
          <w:color w:val="000000"/>
          <w:sz w:val="32"/>
          <w:szCs w:val="32"/>
        </w:rPr>
        <w:br w:type="page"/>
      </w:r>
    </w:p>
    <w:p>
      <w:pPr>
        <w:pStyle w:val="2"/>
        <w:rPr>
          <w:rFonts w:hint="eastAsia"/>
        </w:rPr>
      </w:pPr>
    </w:p>
    <w:p>
      <w:pPr>
        <w:jc w:val="center"/>
        <w:rPr>
          <w:rFonts w:hint="eastAsia" w:ascii="方正小标宋简体" w:hAnsi="宋体" w:eastAsia="方正小标宋简体" w:cs="仿宋_GB2312"/>
          <w:bCs/>
          <w:color w:val="000000"/>
          <w:sz w:val="44"/>
          <w:szCs w:val="44"/>
        </w:rPr>
      </w:pPr>
      <w:r>
        <w:rPr>
          <w:rFonts w:hint="eastAsia" w:ascii="方正小标宋简体" w:hAnsi="宋体" w:eastAsia="方正小标宋简体" w:cs="仿宋_GB2312"/>
          <w:bCs/>
          <w:color w:val="000000"/>
          <w:kern w:val="0"/>
          <w:sz w:val="44"/>
          <w:szCs w:val="44"/>
          <w:shd w:val="clear" w:color="auto" w:fill="FFFFFF"/>
          <w:lang w:bidi="ar"/>
        </w:rPr>
        <w:t>2020年度</w:t>
      </w:r>
      <w:r>
        <w:rPr>
          <w:rFonts w:hint="eastAsia" w:ascii="方正小标宋简体" w:hAnsi="宋体" w:eastAsia="方正小标宋简体" w:cs="仿宋_GB2312"/>
          <w:bCs/>
          <w:color w:val="000000"/>
          <w:sz w:val="44"/>
          <w:szCs w:val="44"/>
          <w:lang w:val="en-US" w:eastAsia="zh-CN"/>
        </w:rPr>
        <w:t>知识产权专项</w:t>
      </w:r>
      <w:r>
        <w:rPr>
          <w:rFonts w:hint="eastAsia" w:ascii="方正小标宋简体" w:hAnsi="宋体" w:eastAsia="方正小标宋简体" w:cs="仿宋_GB2312"/>
          <w:bCs/>
          <w:color w:val="000000"/>
          <w:sz w:val="44"/>
          <w:szCs w:val="44"/>
        </w:rPr>
        <w:t>支出绩效</w:t>
      </w:r>
      <w:r>
        <w:rPr>
          <w:rFonts w:hint="eastAsia" w:ascii="方正小标宋简体" w:hAnsi="宋体" w:eastAsia="方正小标宋简体" w:cs="仿宋_GB2312"/>
          <w:bCs/>
          <w:color w:val="000000"/>
          <w:sz w:val="44"/>
          <w:szCs w:val="44"/>
          <w:lang w:val="en-US" w:eastAsia="zh-CN"/>
        </w:rPr>
        <w:t>自评</w:t>
      </w:r>
      <w:r>
        <w:rPr>
          <w:rFonts w:hint="eastAsia" w:ascii="方正小标宋简体" w:hAnsi="宋体" w:eastAsia="方正小标宋简体" w:cs="仿宋_GB2312"/>
          <w:bCs/>
          <w:color w:val="000000"/>
          <w:sz w:val="44"/>
          <w:szCs w:val="44"/>
        </w:rPr>
        <w:t>报告</w:t>
      </w:r>
    </w:p>
    <w:p>
      <w:pPr>
        <w:jc w:val="center"/>
        <w:rPr>
          <w:rFonts w:hint="eastAsia" w:ascii="方正小标宋简体" w:hAnsi="宋体" w:eastAsia="方正小标宋简体" w:cs="仿宋_GB2312"/>
          <w:bCs/>
          <w:color w:val="000000"/>
          <w:sz w:val="44"/>
          <w:szCs w:val="44"/>
        </w:rPr>
      </w:pPr>
    </w:p>
    <w:p>
      <w:pPr>
        <w:keepNext w:val="0"/>
        <w:keepLines w:val="0"/>
        <w:widowControl/>
        <w:suppressLineNumbers w:val="0"/>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根据《</w:t>
      </w:r>
      <w:r>
        <w:rPr>
          <w:rFonts w:hint="eastAsia" w:ascii="仿宋" w:hAnsi="仿宋" w:eastAsia="仿宋" w:cs="仿宋"/>
          <w:sz w:val="32"/>
          <w:szCs w:val="32"/>
          <w:highlight w:val="none"/>
          <w:lang w:val="en-US" w:eastAsia="zh-CN"/>
        </w:rPr>
        <w:t>南昌市财政局关于开展 2021 年度预算</w:t>
      </w:r>
      <w:r>
        <w:rPr>
          <w:rFonts w:hint="default" w:ascii="仿宋" w:hAnsi="仿宋" w:eastAsia="仿宋" w:cs="仿宋"/>
          <w:sz w:val="32"/>
          <w:szCs w:val="32"/>
          <w:highlight w:val="none"/>
          <w:lang w:val="en-US" w:eastAsia="zh-CN"/>
        </w:rPr>
        <w:t>绩效管理有关工作的通知</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洪财办〔2021〕7 号</w:t>
      </w:r>
      <w:r>
        <w:rPr>
          <w:rFonts w:hint="eastAsia" w:ascii="仿宋" w:hAnsi="仿宋" w:eastAsia="仿宋" w:cs="仿宋"/>
          <w:sz w:val="32"/>
          <w:szCs w:val="32"/>
          <w:highlight w:val="none"/>
        </w:rPr>
        <w:t>）要求，我局对</w:t>
      </w:r>
      <w:r>
        <w:rPr>
          <w:rFonts w:hint="eastAsia" w:ascii="仿宋_GB2312" w:hAnsi="仿宋_GB2312" w:eastAsia="仿宋_GB2312" w:cs="仿宋_GB2312"/>
          <w:color w:val="000000"/>
          <w:kern w:val="0"/>
          <w:sz w:val="32"/>
          <w:szCs w:val="32"/>
          <w:highlight w:val="none"/>
          <w:lang w:bidi="ar"/>
        </w:rPr>
        <w:t>20</w:t>
      </w:r>
      <w:r>
        <w:rPr>
          <w:rFonts w:hint="eastAsia" w:ascii="仿宋_GB2312" w:hAnsi="仿宋_GB2312" w:eastAsia="仿宋_GB2312" w:cs="仿宋_GB2312"/>
          <w:color w:val="000000"/>
          <w:kern w:val="0"/>
          <w:sz w:val="32"/>
          <w:szCs w:val="32"/>
          <w:highlight w:val="none"/>
          <w:lang w:val="en-US" w:eastAsia="zh-CN" w:bidi="ar"/>
        </w:rPr>
        <w:t>20</w:t>
      </w:r>
      <w:r>
        <w:rPr>
          <w:rFonts w:hint="eastAsia" w:ascii="仿宋_GB2312" w:hAnsi="仿宋_GB2312" w:eastAsia="仿宋_GB2312" w:cs="仿宋_GB2312"/>
          <w:color w:val="000000"/>
          <w:kern w:val="0"/>
          <w:sz w:val="32"/>
          <w:szCs w:val="32"/>
          <w:highlight w:val="none"/>
          <w:lang w:bidi="ar"/>
        </w:rPr>
        <w:t>年度知识产权专项资金开展了绩效自评</w:t>
      </w:r>
      <w:r>
        <w:rPr>
          <w:rFonts w:hint="eastAsia" w:ascii="仿宋" w:hAnsi="仿宋" w:eastAsia="仿宋" w:cs="仿宋"/>
          <w:sz w:val="32"/>
          <w:szCs w:val="32"/>
          <w:highlight w:val="none"/>
        </w:rPr>
        <w:t>。现将情况报告如下：</w:t>
      </w:r>
    </w:p>
    <w:p>
      <w:pPr>
        <w:numPr>
          <w:ilvl w:val="0"/>
          <w:numId w:val="1"/>
        </w:numPr>
        <w:spacing w:line="560" w:lineRule="exact"/>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基本情况</w:t>
      </w:r>
    </w:p>
    <w:p>
      <w:pPr>
        <w:numPr>
          <w:ilvl w:val="0"/>
          <w:numId w:val="0"/>
        </w:numPr>
        <w:spacing w:line="560" w:lineRule="exact"/>
        <w:ind w:firstLine="643" w:firstLineChars="20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（一）项目概况</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1．立项背景</w:t>
      </w:r>
    </w:p>
    <w:p>
      <w:pPr>
        <w:spacing w:line="560" w:lineRule="exact"/>
        <w:ind w:firstLine="640" w:firstLineChars="200"/>
        <w:rPr>
          <w:rFonts w:ascii="仿宋_GB2312" w:hAnsi="仿宋_GB2312" w:eastAsia="仿宋_GB2312" w:cs="仿宋_GB2312"/>
          <w:sz w:val="32"/>
          <w:szCs w:val="32"/>
          <w:highlight w:val="none"/>
        </w:rPr>
      </w:pPr>
      <w:r>
        <w:rPr>
          <w:rFonts w:hint="eastAsia" w:ascii="仿宋" w:hAnsi="仿宋" w:eastAsia="仿宋" w:cs="仿宋"/>
          <w:color w:val="000000"/>
          <w:sz w:val="32"/>
          <w:szCs w:val="32"/>
          <w:highlight w:val="none"/>
        </w:rPr>
        <w:t>为增强企业自主创新能力，提升我市专利创造、管理、运用、保护水平，充分发挥知识产权对社会经济发展的支撑作用</w:t>
      </w:r>
      <w:r>
        <w:rPr>
          <w:rFonts w:ascii="仿宋" w:hAnsi="仿宋" w:eastAsia="仿宋" w:cs="仿宋"/>
          <w:color w:val="000000"/>
          <w:sz w:val="32"/>
          <w:szCs w:val="32"/>
          <w:highlight w:val="none"/>
        </w:rPr>
        <w:t>，促进我市经济和社会可持续发展</w:t>
      </w:r>
      <w:r>
        <w:rPr>
          <w:rFonts w:hint="eastAsia" w:ascii="仿宋" w:hAnsi="仿宋" w:eastAsia="仿宋" w:cs="仿宋"/>
          <w:color w:val="000000"/>
          <w:sz w:val="32"/>
          <w:szCs w:val="32"/>
          <w:highlight w:val="none"/>
        </w:rPr>
        <w:t>，根据中共南昌市委 南昌市人民政府《关于增强自主创新能力，加快区域创新体系建设的决定》（洪发[2006]36号）、南昌市人民政府《关于印发南昌市国家知识产权示范城市创建工作的通知》（洪府发【2015】7号）文件，设立了本项目。</w:t>
      </w:r>
    </w:p>
    <w:p>
      <w:pPr>
        <w:pStyle w:val="4"/>
        <w:numPr>
          <w:ilvl w:val="0"/>
          <w:numId w:val="2"/>
        </w:numPr>
        <w:spacing w:line="560" w:lineRule="exact"/>
        <w:ind w:firstLine="640" w:firstLineChars="200"/>
        <w:rPr>
          <w:rFonts w:ascii="仿宋_GB2312" w:hAnsi="仿宋_GB2312" w:eastAsia="仿宋_GB2312" w:cs="仿宋_GB2312"/>
          <w:b w:val="0"/>
          <w:szCs w:val="32"/>
          <w:highlight w:val="none"/>
        </w:rPr>
      </w:pPr>
      <w:bookmarkStart w:id="0" w:name="_Toc26037"/>
      <w:r>
        <w:rPr>
          <w:rFonts w:hint="eastAsia" w:ascii="仿宋_GB2312" w:hAnsi="仿宋_GB2312" w:eastAsia="仿宋_GB2312" w:cs="仿宋_GB2312"/>
          <w:b w:val="0"/>
          <w:szCs w:val="32"/>
          <w:highlight w:val="none"/>
        </w:rPr>
        <w:t>项目内容和实施期限</w:t>
      </w:r>
      <w:bookmarkEnd w:id="0"/>
    </w:p>
    <w:p>
      <w:pPr>
        <w:numPr>
          <w:ilvl w:val="0"/>
          <w:numId w:val="3"/>
        </w:num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项目主要内容：</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年度知识产权专项资金主要用于提升南昌市知识产权创造、运营、保护、管理和服务以及知识产权文化建设等相关工作的奖励、补助和项目管理费用。</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年知识产权专项资金涉及5个类别：分别为知识产权奖励、知识产权补助、知识产权维权援助专项、知识产权保护中心运行经费和项目管理费用。</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（2）项目实施期限：</w:t>
      </w:r>
    </w:p>
    <w:p>
      <w:pPr>
        <w:spacing w:line="560" w:lineRule="exact"/>
        <w:ind w:firstLine="640" w:firstLineChars="200"/>
        <w:rPr>
          <w:highlight w:val="none"/>
        </w:rPr>
      </w:pPr>
      <w:r>
        <w:rPr>
          <w:rFonts w:hint="eastAsia" w:ascii="仿宋" w:hAnsi="仿宋" w:eastAsia="仿宋" w:cs="仿宋"/>
          <w:color w:val="000000"/>
          <w:sz w:val="32"/>
          <w:szCs w:val="32"/>
          <w:highlight w:val="none"/>
        </w:rPr>
        <w:t>20</w:t>
      </w:r>
      <w:r>
        <w:rPr>
          <w:rFonts w:hint="eastAsia" w:ascii="仿宋" w:hAnsi="仿宋" w:eastAsia="仿宋" w:cs="仿宋"/>
          <w:color w:val="000000"/>
          <w:sz w:val="32"/>
          <w:szCs w:val="32"/>
          <w:highlight w:val="none"/>
          <w:lang w:val="en-US" w:eastAsia="zh-CN"/>
        </w:rPr>
        <w:t>20</w:t>
      </w:r>
      <w:r>
        <w:rPr>
          <w:rFonts w:hint="eastAsia" w:ascii="仿宋" w:hAnsi="仿宋" w:eastAsia="仿宋" w:cs="仿宋"/>
          <w:color w:val="000000"/>
          <w:sz w:val="32"/>
          <w:szCs w:val="32"/>
          <w:highlight w:val="none"/>
        </w:rPr>
        <w:t>年1月1日-20</w:t>
      </w:r>
      <w:r>
        <w:rPr>
          <w:rFonts w:hint="eastAsia" w:ascii="仿宋" w:hAnsi="仿宋" w:eastAsia="仿宋" w:cs="仿宋"/>
          <w:color w:val="000000"/>
          <w:sz w:val="32"/>
          <w:szCs w:val="32"/>
          <w:highlight w:val="none"/>
          <w:lang w:val="en-US" w:eastAsia="zh-CN"/>
        </w:rPr>
        <w:t>20</w:t>
      </w:r>
      <w:r>
        <w:rPr>
          <w:rFonts w:hint="eastAsia" w:ascii="仿宋" w:hAnsi="仿宋" w:eastAsia="仿宋" w:cs="仿宋"/>
          <w:color w:val="000000"/>
          <w:sz w:val="32"/>
          <w:szCs w:val="32"/>
          <w:highlight w:val="none"/>
        </w:rPr>
        <w:t>年12月31日</w:t>
      </w:r>
    </w:p>
    <w:p>
      <w:pPr>
        <w:numPr>
          <w:ilvl w:val="0"/>
          <w:numId w:val="2"/>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资金投入和使用情况</w:t>
      </w:r>
    </w:p>
    <w:p>
      <w:pPr>
        <w:spacing w:line="560" w:lineRule="exact"/>
        <w:ind w:firstLine="640" w:firstLineChars="200"/>
        <w:rPr>
          <w:rFonts w:ascii="仿宋" w:hAnsi="仿宋" w:eastAsia="仿宋" w:cs="仿宋"/>
          <w:color w:val="000000"/>
          <w:sz w:val="32"/>
          <w:szCs w:val="32"/>
          <w:highlight w:val="none"/>
        </w:rPr>
      </w:pPr>
      <w:r>
        <w:rPr>
          <w:rFonts w:hint="eastAsia" w:ascii="仿宋" w:hAnsi="仿宋" w:eastAsia="仿宋" w:cs="仿宋"/>
          <w:sz w:val="32"/>
          <w:szCs w:val="32"/>
          <w:highlight w:val="none"/>
        </w:rPr>
        <w:t>依据《南昌市人民政府办公厅关于同意2020年度知识产权专项资金使用计划的批复》（洪府厅字【2020】355号）文件精神，</w:t>
      </w:r>
      <w:r>
        <w:rPr>
          <w:rFonts w:hint="eastAsia" w:ascii="仿宋" w:hAnsi="仿宋" w:eastAsia="仿宋" w:cs="仿宋"/>
          <w:color w:val="000000"/>
          <w:sz w:val="32"/>
          <w:szCs w:val="32"/>
          <w:highlight w:val="none"/>
        </w:rPr>
        <w:t>20</w:t>
      </w:r>
      <w:r>
        <w:rPr>
          <w:rFonts w:hint="eastAsia" w:ascii="仿宋" w:hAnsi="仿宋" w:eastAsia="仿宋" w:cs="仿宋"/>
          <w:color w:val="000000"/>
          <w:sz w:val="32"/>
          <w:szCs w:val="32"/>
          <w:highlight w:val="none"/>
          <w:lang w:val="en-US" w:eastAsia="zh-CN"/>
        </w:rPr>
        <w:t>20</w:t>
      </w:r>
      <w:r>
        <w:rPr>
          <w:rFonts w:hint="eastAsia" w:ascii="仿宋" w:hAnsi="仿宋" w:eastAsia="仿宋" w:cs="仿宋"/>
          <w:color w:val="000000"/>
          <w:sz w:val="32"/>
          <w:szCs w:val="32"/>
          <w:highlight w:val="none"/>
        </w:rPr>
        <w:t>年市知识产权专项资金</w:t>
      </w:r>
      <w:r>
        <w:rPr>
          <w:rFonts w:hint="eastAsia" w:ascii="仿宋" w:hAnsi="仿宋" w:eastAsia="仿宋" w:cs="仿宋"/>
          <w:color w:val="000000"/>
          <w:sz w:val="32"/>
          <w:szCs w:val="32"/>
          <w:highlight w:val="none"/>
          <w:lang w:val="en-US" w:eastAsia="zh-CN"/>
        </w:rPr>
        <w:t>1715.27</w:t>
      </w:r>
      <w:r>
        <w:rPr>
          <w:rFonts w:hint="eastAsia" w:ascii="仿宋" w:hAnsi="仿宋" w:eastAsia="仿宋" w:cs="仿宋"/>
          <w:color w:val="000000"/>
          <w:sz w:val="32"/>
          <w:szCs w:val="32"/>
          <w:highlight w:val="none"/>
        </w:rPr>
        <w:t>万元（其中：本年度预算为1700万元，上年结余</w:t>
      </w:r>
      <w:r>
        <w:rPr>
          <w:rFonts w:hint="eastAsia" w:ascii="仿宋" w:hAnsi="仿宋" w:eastAsia="仿宋" w:cs="仿宋"/>
          <w:color w:val="000000"/>
          <w:sz w:val="32"/>
          <w:szCs w:val="32"/>
          <w:highlight w:val="none"/>
          <w:lang w:val="en-US" w:eastAsia="zh-CN"/>
        </w:rPr>
        <w:t>15.27</w:t>
      </w:r>
      <w:r>
        <w:rPr>
          <w:rFonts w:hint="eastAsia" w:ascii="仿宋" w:hAnsi="仿宋" w:eastAsia="仿宋" w:cs="仿宋"/>
          <w:color w:val="000000"/>
          <w:sz w:val="32"/>
          <w:szCs w:val="32"/>
          <w:highlight w:val="none"/>
        </w:rPr>
        <w:t>万元），实际支出</w:t>
      </w:r>
      <w:r>
        <w:rPr>
          <w:rFonts w:hint="eastAsia" w:ascii="仿宋" w:hAnsi="仿宋" w:eastAsia="仿宋" w:cs="仿宋"/>
          <w:color w:val="000000"/>
          <w:sz w:val="32"/>
          <w:szCs w:val="32"/>
          <w:highlight w:val="none"/>
          <w:lang w:val="en-US" w:eastAsia="zh-CN"/>
        </w:rPr>
        <w:t>1331.1361</w:t>
      </w:r>
      <w:r>
        <w:rPr>
          <w:rFonts w:hint="eastAsia" w:ascii="仿宋" w:hAnsi="仿宋" w:eastAsia="仿宋" w:cs="仿宋"/>
          <w:color w:val="000000"/>
          <w:sz w:val="32"/>
          <w:szCs w:val="32"/>
          <w:highlight w:val="none"/>
        </w:rPr>
        <w:t>万元，预算执行率</w:t>
      </w:r>
      <w:r>
        <w:rPr>
          <w:rFonts w:hint="eastAsia" w:ascii="仿宋" w:hAnsi="仿宋" w:eastAsia="仿宋" w:cs="仿宋"/>
          <w:color w:val="000000"/>
          <w:sz w:val="32"/>
          <w:szCs w:val="32"/>
          <w:highlight w:val="none"/>
          <w:lang w:val="en-US" w:eastAsia="zh-CN"/>
        </w:rPr>
        <w:t>77.61</w:t>
      </w:r>
      <w:r>
        <w:rPr>
          <w:rFonts w:hint="eastAsia" w:ascii="仿宋" w:hAnsi="仿宋" w:eastAsia="仿宋" w:cs="仿宋"/>
          <w:color w:val="000000"/>
          <w:sz w:val="32"/>
          <w:szCs w:val="32"/>
          <w:highlight w:val="none"/>
        </w:rPr>
        <w:t>%。具体使用情况如下：</w:t>
      </w:r>
    </w:p>
    <w:p>
      <w:pPr>
        <w:numPr>
          <w:ilvl w:val="0"/>
          <w:numId w:val="4"/>
        </w:num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知识产权奖励项目</w:t>
      </w:r>
    </w:p>
    <w:p>
      <w:p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w:t>
      </w:r>
      <w:r>
        <w:rPr>
          <w:rFonts w:hint="eastAsia" w:ascii="仿宋" w:hAnsi="仿宋" w:eastAsia="仿宋" w:cs="仿宋"/>
          <w:color w:val="000000"/>
          <w:sz w:val="32"/>
          <w:szCs w:val="32"/>
          <w:highlight w:val="none"/>
          <w:lang w:val="en-US" w:eastAsia="zh-CN"/>
        </w:rPr>
        <w:t>奖励项目</w:t>
      </w:r>
      <w:r>
        <w:rPr>
          <w:rFonts w:hint="eastAsia" w:ascii="仿宋" w:hAnsi="仿宋" w:eastAsia="仿宋" w:cs="仿宋"/>
          <w:color w:val="000000"/>
          <w:sz w:val="32"/>
          <w:szCs w:val="32"/>
          <w:highlight w:val="none"/>
        </w:rPr>
        <w:t>预算金额</w:t>
      </w:r>
      <w:r>
        <w:rPr>
          <w:rFonts w:hint="eastAsia" w:ascii="仿宋" w:hAnsi="仿宋" w:eastAsia="仿宋" w:cs="仿宋"/>
          <w:color w:val="000000"/>
          <w:sz w:val="32"/>
          <w:szCs w:val="32"/>
          <w:highlight w:val="none"/>
          <w:lang w:val="en-US" w:eastAsia="zh-CN"/>
        </w:rPr>
        <w:t>820.8</w:t>
      </w:r>
      <w:r>
        <w:rPr>
          <w:rFonts w:hint="eastAsia" w:ascii="仿宋" w:hAnsi="仿宋" w:eastAsia="仿宋" w:cs="仿宋"/>
          <w:color w:val="000000"/>
          <w:sz w:val="32"/>
          <w:szCs w:val="32"/>
          <w:highlight w:val="none"/>
        </w:rPr>
        <w:t>万元（其中：本年度预算为</w:t>
      </w:r>
      <w:r>
        <w:rPr>
          <w:rFonts w:hint="eastAsia" w:ascii="仿宋" w:hAnsi="仿宋" w:eastAsia="仿宋" w:cs="仿宋"/>
          <w:color w:val="000000"/>
          <w:sz w:val="32"/>
          <w:szCs w:val="32"/>
          <w:highlight w:val="none"/>
          <w:lang w:val="en-US" w:eastAsia="zh-CN"/>
        </w:rPr>
        <w:t>820</w:t>
      </w:r>
      <w:r>
        <w:rPr>
          <w:rFonts w:hint="eastAsia" w:ascii="仿宋" w:hAnsi="仿宋" w:eastAsia="仿宋" w:cs="仿宋"/>
          <w:color w:val="000000"/>
          <w:sz w:val="32"/>
          <w:szCs w:val="32"/>
          <w:highlight w:val="none"/>
        </w:rPr>
        <w:t>万元，上年结余</w:t>
      </w:r>
      <w:r>
        <w:rPr>
          <w:rFonts w:hint="eastAsia" w:ascii="仿宋" w:hAnsi="仿宋" w:eastAsia="仿宋" w:cs="仿宋"/>
          <w:color w:val="000000"/>
          <w:sz w:val="32"/>
          <w:szCs w:val="32"/>
          <w:highlight w:val="none"/>
          <w:lang w:val="en-US" w:eastAsia="zh-CN"/>
        </w:rPr>
        <w:t>0.8</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实际到位</w:t>
      </w:r>
      <w:r>
        <w:rPr>
          <w:rFonts w:hint="eastAsia" w:ascii="仿宋" w:hAnsi="仿宋" w:eastAsia="仿宋" w:cs="仿宋"/>
          <w:color w:val="000000"/>
          <w:sz w:val="32"/>
          <w:szCs w:val="32"/>
          <w:highlight w:val="none"/>
          <w:lang w:val="en-US" w:eastAsia="zh-CN"/>
        </w:rPr>
        <w:t>843.05</w:t>
      </w:r>
      <w:r>
        <w:rPr>
          <w:rFonts w:hint="eastAsia" w:ascii="仿宋" w:hAnsi="仿宋" w:eastAsia="仿宋" w:cs="仿宋"/>
          <w:color w:val="000000"/>
          <w:sz w:val="32"/>
          <w:szCs w:val="32"/>
          <w:highlight w:val="none"/>
        </w:rPr>
        <w:t>万元，实际支出</w:t>
      </w:r>
      <w:r>
        <w:rPr>
          <w:rFonts w:hint="eastAsia" w:ascii="仿宋" w:hAnsi="仿宋" w:eastAsia="仿宋" w:cs="仿宋"/>
          <w:color w:val="000000"/>
          <w:sz w:val="32"/>
          <w:szCs w:val="32"/>
          <w:highlight w:val="none"/>
          <w:lang w:val="en-US" w:eastAsia="zh-CN"/>
        </w:rPr>
        <w:t>841.05</w:t>
      </w:r>
      <w:r>
        <w:rPr>
          <w:rFonts w:hint="eastAsia" w:ascii="仿宋" w:hAnsi="仿宋" w:eastAsia="仿宋" w:cs="仿宋"/>
          <w:color w:val="000000"/>
          <w:sz w:val="32"/>
          <w:szCs w:val="32"/>
          <w:highlight w:val="none"/>
        </w:rPr>
        <w:t>万元，预算执行率为</w:t>
      </w:r>
      <w:r>
        <w:rPr>
          <w:rFonts w:hint="eastAsia" w:ascii="仿宋" w:hAnsi="仿宋" w:eastAsia="仿宋" w:cs="仿宋"/>
          <w:color w:val="000000"/>
          <w:sz w:val="32"/>
          <w:szCs w:val="32"/>
          <w:highlight w:val="none"/>
          <w:lang w:val="en-US" w:eastAsia="zh-CN"/>
        </w:rPr>
        <w:t>99.76</w:t>
      </w:r>
      <w:r>
        <w:rPr>
          <w:rFonts w:hint="eastAsia" w:ascii="仿宋" w:hAnsi="仿宋" w:eastAsia="仿宋" w:cs="仿宋"/>
          <w:color w:val="000000"/>
          <w:sz w:val="32"/>
          <w:szCs w:val="32"/>
          <w:highlight w:val="none"/>
        </w:rPr>
        <w:t>%。具体明细如下：</w:t>
      </w:r>
    </w:p>
    <w:tbl>
      <w:tblPr>
        <w:tblStyle w:val="7"/>
        <w:tblW w:w="9341" w:type="dxa"/>
        <w:tblInd w:w="0" w:type="dxa"/>
        <w:tblLayout w:type="fixed"/>
        <w:tblCellMar>
          <w:top w:w="0" w:type="dxa"/>
          <w:left w:w="0" w:type="dxa"/>
          <w:bottom w:w="0" w:type="dxa"/>
          <w:right w:w="0" w:type="dxa"/>
        </w:tblCellMar>
      </w:tblPr>
      <w:tblGrid>
        <w:gridCol w:w="4104"/>
        <w:gridCol w:w="1625"/>
        <w:gridCol w:w="1412"/>
        <w:gridCol w:w="2200"/>
      </w:tblGrid>
      <w:tr>
        <w:tblPrEx>
          <w:tblCellMar>
            <w:top w:w="0" w:type="dxa"/>
            <w:left w:w="0" w:type="dxa"/>
            <w:bottom w:w="0" w:type="dxa"/>
            <w:right w:w="0" w:type="dxa"/>
          </w:tblCellMar>
        </w:tblPrEx>
        <w:trPr>
          <w:trHeight w:val="600" w:hRule="atLeast"/>
        </w:trPr>
        <w:tc>
          <w:tcPr>
            <w:tcW w:w="4104"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项目</w:t>
            </w:r>
          </w:p>
        </w:tc>
        <w:tc>
          <w:tcPr>
            <w:tcW w:w="162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单位数量（家）</w:t>
            </w:r>
          </w:p>
        </w:tc>
        <w:tc>
          <w:tcPr>
            <w:tcW w:w="141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奖励数量（件）</w:t>
            </w:r>
          </w:p>
        </w:tc>
        <w:tc>
          <w:tcPr>
            <w:tcW w:w="220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支付金额（万元）</w:t>
            </w:r>
          </w:p>
        </w:tc>
      </w:tr>
      <w:tr>
        <w:tblPrEx>
          <w:tblCellMar>
            <w:top w:w="0" w:type="dxa"/>
            <w:left w:w="0" w:type="dxa"/>
            <w:bottom w:w="0" w:type="dxa"/>
            <w:right w:w="0" w:type="dxa"/>
          </w:tblCellMar>
        </w:tblPrEx>
        <w:trPr>
          <w:trHeight w:val="472" w:hRule="atLeast"/>
        </w:trPr>
        <w:tc>
          <w:tcPr>
            <w:tcW w:w="410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授权专利奖励</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kern w:val="0"/>
                <w:sz w:val="24"/>
                <w:highlight w:val="none"/>
                <w:lang w:val="en-US" w:eastAsia="zh-CN" w:bidi="ar"/>
              </w:rPr>
              <w:t>514</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4609</w:t>
            </w:r>
          </w:p>
        </w:tc>
        <w:tc>
          <w:tcPr>
            <w:tcW w:w="2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kern w:val="0"/>
                <w:sz w:val="24"/>
                <w:highlight w:val="none"/>
                <w:lang w:val="en-US" w:eastAsia="zh-CN" w:bidi="ar"/>
              </w:rPr>
              <w:t>701.05</w:t>
            </w:r>
          </w:p>
        </w:tc>
      </w:tr>
      <w:tr>
        <w:tblPrEx>
          <w:tblCellMar>
            <w:top w:w="0" w:type="dxa"/>
            <w:left w:w="0" w:type="dxa"/>
            <w:bottom w:w="0" w:type="dxa"/>
            <w:right w:w="0" w:type="dxa"/>
          </w:tblCellMar>
        </w:tblPrEx>
        <w:trPr>
          <w:trHeight w:val="505" w:hRule="atLeast"/>
        </w:trPr>
        <w:tc>
          <w:tcPr>
            <w:tcW w:w="410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累计拥有国内外发明专利奖励</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kern w:val="0"/>
                <w:sz w:val="24"/>
                <w:highlight w:val="none"/>
                <w:lang w:val="en-US" w:eastAsia="zh-CN" w:bidi="ar"/>
              </w:rPr>
              <w:t>4</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170</w:t>
            </w:r>
          </w:p>
        </w:tc>
        <w:tc>
          <w:tcPr>
            <w:tcW w:w="2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kern w:val="0"/>
                <w:sz w:val="24"/>
                <w:highlight w:val="none"/>
                <w:lang w:val="en-US" w:eastAsia="zh-CN" w:bidi="ar"/>
              </w:rPr>
              <w:t>70</w:t>
            </w:r>
          </w:p>
        </w:tc>
      </w:tr>
      <w:tr>
        <w:tblPrEx>
          <w:tblCellMar>
            <w:top w:w="0" w:type="dxa"/>
            <w:left w:w="0" w:type="dxa"/>
            <w:bottom w:w="0" w:type="dxa"/>
            <w:right w:w="0" w:type="dxa"/>
          </w:tblCellMar>
        </w:tblPrEx>
        <w:trPr>
          <w:trHeight w:val="480" w:hRule="atLeast"/>
        </w:trPr>
        <w:tc>
          <w:tcPr>
            <w:tcW w:w="410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优势示范企业奖励</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kern w:val="0"/>
                <w:sz w:val="24"/>
                <w:highlight w:val="none"/>
                <w:lang w:val="en-US" w:eastAsia="zh-CN" w:bidi="ar"/>
              </w:rPr>
              <w:t>5</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highlight w:val="none"/>
              </w:rPr>
            </w:pPr>
          </w:p>
        </w:tc>
        <w:tc>
          <w:tcPr>
            <w:tcW w:w="2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kern w:val="0"/>
                <w:sz w:val="24"/>
                <w:highlight w:val="none"/>
                <w:lang w:val="en-US" w:eastAsia="zh-CN" w:bidi="ar"/>
              </w:rPr>
              <w:t>70</w:t>
            </w:r>
          </w:p>
        </w:tc>
      </w:tr>
      <w:tr>
        <w:tblPrEx>
          <w:tblCellMar>
            <w:top w:w="0" w:type="dxa"/>
            <w:left w:w="0" w:type="dxa"/>
            <w:bottom w:w="0" w:type="dxa"/>
            <w:right w:w="0" w:type="dxa"/>
          </w:tblCellMar>
        </w:tblPrEx>
        <w:trPr>
          <w:trHeight w:val="465" w:hRule="atLeast"/>
        </w:trPr>
        <w:tc>
          <w:tcPr>
            <w:tcW w:w="410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highlight w:val="none"/>
              </w:rPr>
            </w:pPr>
            <w:r>
              <w:rPr>
                <w:rFonts w:hint="eastAsia" w:ascii="宋体" w:hAnsi="宋体" w:cs="宋体"/>
                <w:b/>
                <w:color w:val="000000"/>
                <w:kern w:val="0"/>
                <w:sz w:val="24"/>
                <w:highlight w:val="none"/>
                <w:lang w:bidi="ar"/>
              </w:rPr>
              <w:t>合计</w:t>
            </w:r>
          </w:p>
        </w:tc>
        <w:tc>
          <w:tcPr>
            <w:tcW w:w="16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000000"/>
                <w:sz w:val="24"/>
                <w:highlight w:val="none"/>
                <w:lang w:val="en-US" w:eastAsia="zh-CN"/>
              </w:rPr>
            </w:pPr>
            <w:r>
              <w:rPr>
                <w:rFonts w:hint="eastAsia" w:ascii="宋体" w:hAnsi="宋体" w:cs="宋体"/>
                <w:b/>
                <w:color w:val="000000"/>
                <w:kern w:val="0"/>
                <w:sz w:val="24"/>
                <w:highlight w:val="none"/>
                <w:lang w:val="en-US" w:eastAsia="zh-CN" w:bidi="ar"/>
              </w:rPr>
              <w:t>523</w:t>
            </w:r>
          </w:p>
        </w:tc>
        <w:tc>
          <w:tcPr>
            <w:tcW w:w="141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000000"/>
                <w:sz w:val="24"/>
                <w:highlight w:val="none"/>
                <w:lang w:val="en-US" w:eastAsia="zh-CN"/>
              </w:rPr>
            </w:pPr>
            <w:r>
              <w:rPr>
                <w:rFonts w:hint="eastAsia" w:ascii="宋体" w:hAnsi="宋体" w:cs="宋体"/>
                <w:b/>
                <w:color w:val="000000"/>
                <w:kern w:val="0"/>
                <w:sz w:val="24"/>
                <w:highlight w:val="none"/>
                <w:lang w:val="en-US" w:eastAsia="zh-CN" w:bidi="ar"/>
              </w:rPr>
              <w:t>4779</w:t>
            </w:r>
          </w:p>
        </w:tc>
        <w:tc>
          <w:tcPr>
            <w:tcW w:w="22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000000"/>
                <w:sz w:val="24"/>
                <w:highlight w:val="none"/>
                <w:lang w:val="en-US" w:eastAsia="zh-CN"/>
              </w:rPr>
            </w:pPr>
            <w:r>
              <w:rPr>
                <w:rFonts w:hint="eastAsia" w:ascii="宋体" w:hAnsi="宋体" w:cs="宋体"/>
                <w:b/>
                <w:color w:val="000000"/>
                <w:kern w:val="0"/>
                <w:sz w:val="24"/>
                <w:highlight w:val="none"/>
                <w:lang w:val="en-US" w:eastAsia="zh-CN" w:bidi="ar"/>
              </w:rPr>
              <w:t>841.05</w:t>
            </w:r>
          </w:p>
        </w:tc>
      </w:tr>
    </w:tbl>
    <w:p>
      <w:pPr>
        <w:numPr>
          <w:ilvl w:val="0"/>
          <w:numId w:val="4"/>
        </w:num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知识产权补助项目</w:t>
      </w:r>
    </w:p>
    <w:p>
      <w:p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知识产权补助专项经费预算</w:t>
      </w:r>
      <w:r>
        <w:rPr>
          <w:rFonts w:hint="eastAsia" w:ascii="仿宋" w:hAnsi="仿宋" w:eastAsia="仿宋" w:cs="仿宋"/>
          <w:color w:val="000000"/>
          <w:sz w:val="32"/>
          <w:szCs w:val="32"/>
          <w:highlight w:val="none"/>
          <w:lang w:val="en-US" w:eastAsia="zh-CN"/>
        </w:rPr>
        <w:t>500</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val="en-US" w:eastAsia="zh-CN"/>
        </w:rPr>
        <w:t>实际到位262.4761万元，</w:t>
      </w:r>
      <w:r>
        <w:rPr>
          <w:rFonts w:hint="eastAsia" w:ascii="仿宋" w:hAnsi="仿宋" w:eastAsia="仿宋" w:cs="仿宋"/>
          <w:color w:val="000000"/>
          <w:sz w:val="32"/>
          <w:szCs w:val="32"/>
          <w:highlight w:val="none"/>
        </w:rPr>
        <w:t>财政直接支付</w:t>
      </w:r>
      <w:r>
        <w:rPr>
          <w:rFonts w:hint="eastAsia" w:ascii="仿宋" w:hAnsi="仿宋" w:eastAsia="仿宋" w:cs="仿宋"/>
          <w:color w:val="000000"/>
          <w:sz w:val="32"/>
          <w:szCs w:val="32"/>
          <w:highlight w:val="none"/>
          <w:lang w:val="en-US" w:eastAsia="zh-CN"/>
        </w:rPr>
        <w:t>262.4761</w:t>
      </w:r>
      <w:r>
        <w:rPr>
          <w:rFonts w:hint="eastAsia" w:ascii="仿宋" w:hAnsi="仿宋" w:eastAsia="仿宋" w:cs="仿宋"/>
          <w:color w:val="000000"/>
          <w:sz w:val="32"/>
          <w:szCs w:val="32"/>
          <w:highlight w:val="none"/>
        </w:rPr>
        <w:t>万元，预算执行率</w:t>
      </w:r>
      <w:r>
        <w:rPr>
          <w:rFonts w:hint="eastAsia" w:ascii="仿宋" w:hAnsi="仿宋" w:eastAsia="仿宋" w:cs="仿宋"/>
          <w:color w:val="000000"/>
          <w:sz w:val="32"/>
          <w:szCs w:val="32"/>
          <w:highlight w:val="none"/>
          <w:lang w:val="en-US" w:eastAsia="zh-CN"/>
        </w:rPr>
        <w:t>100</w:t>
      </w:r>
      <w:r>
        <w:rPr>
          <w:rFonts w:hint="eastAsia" w:ascii="仿宋" w:hAnsi="仿宋" w:eastAsia="仿宋" w:cs="仿宋"/>
          <w:color w:val="000000"/>
          <w:sz w:val="32"/>
          <w:szCs w:val="32"/>
          <w:highlight w:val="none"/>
        </w:rPr>
        <w:t>%。具体明细如下：</w:t>
      </w:r>
    </w:p>
    <w:tbl>
      <w:tblPr>
        <w:tblStyle w:val="7"/>
        <w:tblW w:w="9343" w:type="dxa"/>
        <w:tblInd w:w="0" w:type="dxa"/>
        <w:tblLayout w:type="fixed"/>
        <w:tblCellMar>
          <w:top w:w="0" w:type="dxa"/>
          <w:left w:w="0" w:type="dxa"/>
          <w:bottom w:w="0" w:type="dxa"/>
          <w:right w:w="0" w:type="dxa"/>
        </w:tblCellMar>
      </w:tblPr>
      <w:tblGrid>
        <w:gridCol w:w="4104"/>
        <w:gridCol w:w="2539"/>
        <w:gridCol w:w="2700"/>
      </w:tblGrid>
      <w:tr>
        <w:trPr>
          <w:trHeight w:val="600" w:hRule="atLeast"/>
        </w:trPr>
        <w:tc>
          <w:tcPr>
            <w:tcW w:w="4104"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项目</w:t>
            </w:r>
          </w:p>
        </w:tc>
        <w:tc>
          <w:tcPr>
            <w:tcW w:w="253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单位数量（家）</w:t>
            </w:r>
          </w:p>
        </w:tc>
        <w:tc>
          <w:tcPr>
            <w:tcW w:w="270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bidi="ar"/>
              </w:rPr>
              <w:t>支付金额（万元）</w:t>
            </w:r>
          </w:p>
        </w:tc>
      </w:tr>
      <w:tr>
        <w:tblPrEx>
          <w:tblCellMar>
            <w:top w:w="0" w:type="dxa"/>
            <w:left w:w="0" w:type="dxa"/>
            <w:bottom w:w="0" w:type="dxa"/>
            <w:right w:w="0" w:type="dxa"/>
          </w:tblCellMar>
        </w:tblPrEx>
        <w:trPr>
          <w:trHeight w:val="472" w:hRule="atLeast"/>
        </w:trPr>
        <w:tc>
          <w:tcPr>
            <w:tcW w:w="410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kern w:val="0"/>
                <w:sz w:val="24"/>
                <w:highlight w:val="none"/>
                <w:lang w:val="en-US" w:eastAsia="zh-CN" w:bidi="ar"/>
              </w:rPr>
              <w:t>贯标企业补助</w:t>
            </w:r>
          </w:p>
        </w:tc>
        <w:tc>
          <w:tcPr>
            <w:tcW w:w="2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37</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72.9</w:t>
            </w:r>
          </w:p>
        </w:tc>
      </w:tr>
      <w:tr>
        <w:tblPrEx>
          <w:tblCellMar>
            <w:top w:w="0" w:type="dxa"/>
            <w:left w:w="0" w:type="dxa"/>
            <w:bottom w:w="0" w:type="dxa"/>
            <w:right w:w="0" w:type="dxa"/>
          </w:tblCellMar>
        </w:tblPrEx>
        <w:trPr>
          <w:trHeight w:val="505" w:hRule="atLeast"/>
        </w:trPr>
        <w:tc>
          <w:tcPr>
            <w:tcW w:w="4104"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质押融资补助</w:t>
            </w:r>
          </w:p>
        </w:tc>
        <w:tc>
          <w:tcPr>
            <w:tcW w:w="2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11</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189.5761</w:t>
            </w:r>
          </w:p>
        </w:tc>
      </w:tr>
      <w:tr>
        <w:tblPrEx>
          <w:tblCellMar>
            <w:top w:w="0" w:type="dxa"/>
            <w:left w:w="0" w:type="dxa"/>
            <w:bottom w:w="0" w:type="dxa"/>
            <w:right w:w="0" w:type="dxa"/>
          </w:tblCellMar>
        </w:tblPrEx>
        <w:trPr>
          <w:trHeight w:val="465" w:hRule="atLeast"/>
        </w:trPr>
        <w:tc>
          <w:tcPr>
            <w:tcW w:w="410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highlight w:val="none"/>
              </w:rPr>
            </w:pPr>
            <w:r>
              <w:rPr>
                <w:rFonts w:hint="eastAsia" w:ascii="宋体" w:hAnsi="宋体" w:cs="宋体"/>
                <w:b/>
                <w:color w:val="000000"/>
                <w:kern w:val="0"/>
                <w:sz w:val="24"/>
                <w:highlight w:val="none"/>
                <w:lang w:bidi="ar"/>
              </w:rPr>
              <w:t>合计</w:t>
            </w:r>
          </w:p>
        </w:tc>
        <w:tc>
          <w:tcPr>
            <w:tcW w:w="253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000000"/>
                <w:sz w:val="24"/>
                <w:highlight w:val="none"/>
                <w:lang w:val="en-US" w:eastAsia="zh-CN"/>
              </w:rPr>
            </w:pPr>
            <w:r>
              <w:rPr>
                <w:rFonts w:hint="eastAsia" w:ascii="宋体" w:hAnsi="宋体" w:cs="宋体"/>
                <w:b/>
                <w:color w:val="000000"/>
                <w:sz w:val="24"/>
                <w:highlight w:val="none"/>
                <w:lang w:val="en-US" w:eastAsia="zh-CN"/>
              </w:rPr>
              <w:t>48</w:t>
            </w:r>
          </w:p>
        </w:tc>
        <w:tc>
          <w:tcPr>
            <w:tcW w:w="270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000000"/>
                <w:sz w:val="24"/>
                <w:highlight w:val="none"/>
                <w:lang w:val="en-US" w:eastAsia="zh-CN"/>
              </w:rPr>
            </w:pPr>
            <w:r>
              <w:rPr>
                <w:rFonts w:hint="eastAsia" w:ascii="宋体" w:hAnsi="宋体" w:cs="宋体"/>
                <w:b/>
                <w:color w:val="000000"/>
                <w:sz w:val="24"/>
                <w:highlight w:val="none"/>
                <w:lang w:val="en-US" w:eastAsia="zh-CN"/>
              </w:rPr>
              <w:t>262.4761</w:t>
            </w:r>
          </w:p>
        </w:tc>
      </w:tr>
    </w:tbl>
    <w:p>
      <w:pPr>
        <w:numPr>
          <w:ilvl w:val="0"/>
          <w:numId w:val="4"/>
        </w:num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知识产权维权援助项目</w:t>
      </w:r>
    </w:p>
    <w:p>
      <w:p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知识产权维权援助专项经费预算</w:t>
      </w:r>
      <w:r>
        <w:rPr>
          <w:rFonts w:hint="eastAsia" w:ascii="仿宋" w:hAnsi="仿宋" w:eastAsia="仿宋" w:cs="仿宋"/>
          <w:color w:val="000000"/>
          <w:sz w:val="32"/>
          <w:szCs w:val="32"/>
          <w:highlight w:val="none"/>
          <w:lang w:val="en-US" w:eastAsia="zh-CN"/>
        </w:rPr>
        <w:t>37</w:t>
      </w:r>
      <w:r>
        <w:rPr>
          <w:rFonts w:hint="eastAsia" w:ascii="仿宋" w:hAnsi="仿宋" w:eastAsia="仿宋" w:cs="仿宋"/>
          <w:color w:val="000000"/>
          <w:sz w:val="32"/>
          <w:szCs w:val="32"/>
          <w:highlight w:val="none"/>
        </w:rPr>
        <w:t>万元（其中：本年度预算为</w:t>
      </w:r>
      <w:r>
        <w:rPr>
          <w:rFonts w:hint="eastAsia" w:ascii="仿宋" w:hAnsi="仿宋" w:eastAsia="仿宋" w:cs="仿宋"/>
          <w:color w:val="000000"/>
          <w:sz w:val="32"/>
          <w:szCs w:val="32"/>
          <w:highlight w:val="none"/>
          <w:lang w:val="en-US" w:eastAsia="zh-CN"/>
        </w:rPr>
        <w:t>30</w:t>
      </w:r>
      <w:r>
        <w:rPr>
          <w:rFonts w:hint="eastAsia" w:ascii="仿宋" w:hAnsi="仿宋" w:eastAsia="仿宋" w:cs="仿宋"/>
          <w:color w:val="000000"/>
          <w:sz w:val="32"/>
          <w:szCs w:val="32"/>
          <w:highlight w:val="none"/>
        </w:rPr>
        <w:t>万元，上年结余</w:t>
      </w:r>
      <w:r>
        <w:rPr>
          <w:rFonts w:hint="eastAsia" w:ascii="仿宋" w:hAnsi="仿宋" w:eastAsia="仿宋" w:cs="仿宋"/>
          <w:color w:val="000000"/>
          <w:sz w:val="32"/>
          <w:szCs w:val="32"/>
          <w:highlight w:val="none"/>
          <w:lang w:val="en-US" w:eastAsia="zh-CN"/>
        </w:rPr>
        <w:t>7</w:t>
      </w:r>
      <w:r>
        <w:rPr>
          <w:rFonts w:hint="eastAsia" w:ascii="仿宋" w:hAnsi="仿宋" w:eastAsia="仿宋" w:cs="仿宋"/>
          <w:color w:val="000000"/>
          <w:sz w:val="32"/>
          <w:szCs w:val="32"/>
          <w:highlight w:val="none"/>
        </w:rPr>
        <w:t>万元），实际到位</w:t>
      </w:r>
      <w:r>
        <w:rPr>
          <w:rFonts w:hint="eastAsia" w:ascii="仿宋" w:hAnsi="仿宋" w:eastAsia="仿宋" w:cs="仿宋"/>
          <w:color w:val="000000"/>
          <w:sz w:val="32"/>
          <w:szCs w:val="32"/>
          <w:highlight w:val="none"/>
          <w:lang w:val="en-US" w:eastAsia="zh-CN"/>
        </w:rPr>
        <w:t>37</w:t>
      </w:r>
      <w:r>
        <w:rPr>
          <w:rFonts w:hint="eastAsia" w:ascii="仿宋" w:hAnsi="仿宋" w:eastAsia="仿宋" w:cs="仿宋"/>
          <w:color w:val="000000"/>
          <w:sz w:val="32"/>
          <w:szCs w:val="32"/>
          <w:highlight w:val="none"/>
        </w:rPr>
        <w:t>万元，实际支出</w:t>
      </w:r>
      <w:r>
        <w:rPr>
          <w:rFonts w:hint="eastAsia" w:ascii="仿宋" w:hAnsi="仿宋" w:eastAsia="仿宋" w:cs="仿宋"/>
          <w:color w:val="000000"/>
          <w:sz w:val="32"/>
          <w:szCs w:val="32"/>
          <w:highlight w:val="none"/>
          <w:lang w:val="en-US" w:eastAsia="zh-CN"/>
        </w:rPr>
        <w:t>15.76</w:t>
      </w:r>
      <w:r>
        <w:rPr>
          <w:rFonts w:hint="eastAsia" w:ascii="仿宋" w:hAnsi="仿宋" w:eastAsia="仿宋" w:cs="仿宋"/>
          <w:color w:val="000000"/>
          <w:sz w:val="32"/>
          <w:szCs w:val="32"/>
          <w:highlight w:val="none"/>
        </w:rPr>
        <w:t>万元，预算执行率</w:t>
      </w:r>
      <w:r>
        <w:rPr>
          <w:rFonts w:hint="eastAsia" w:ascii="仿宋" w:hAnsi="仿宋" w:eastAsia="仿宋" w:cs="仿宋"/>
          <w:color w:val="000000"/>
          <w:sz w:val="32"/>
          <w:szCs w:val="32"/>
          <w:highlight w:val="none"/>
          <w:lang w:val="en-US" w:eastAsia="zh-CN"/>
        </w:rPr>
        <w:t>42.59</w:t>
      </w:r>
      <w:r>
        <w:rPr>
          <w:rFonts w:hint="eastAsia" w:ascii="仿宋" w:hAnsi="仿宋" w:eastAsia="仿宋" w:cs="仿宋"/>
          <w:color w:val="000000"/>
          <w:sz w:val="32"/>
          <w:szCs w:val="32"/>
          <w:highlight w:val="none"/>
        </w:rPr>
        <w:t>%，具体明细如下：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2"/>
        <w:gridCol w:w="2953"/>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8" w:type="dxa"/>
            <w:noWrap w:val="0"/>
            <w:vAlign w:val="top"/>
          </w:tcPr>
          <w:p>
            <w:pPr>
              <w:widowControl/>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目标</w:t>
            </w:r>
          </w:p>
        </w:tc>
        <w:tc>
          <w:tcPr>
            <w:tcW w:w="3239" w:type="dxa"/>
            <w:noWrap w:val="0"/>
            <w:vAlign w:val="top"/>
          </w:tcPr>
          <w:p>
            <w:pPr>
              <w:widowControl/>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完成项目</w:t>
            </w:r>
          </w:p>
        </w:tc>
        <w:tc>
          <w:tcPr>
            <w:tcW w:w="2809" w:type="dxa"/>
            <w:noWrap w:val="0"/>
            <w:vAlign w:val="top"/>
          </w:tcPr>
          <w:p>
            <w:pPr>
              <w:widowControl/>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支出金额（元）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238" w:type="dxa"/>
            <w:noWrap w:val="0"/>
            <w:vAlign w:val="center"/>
          </w:tcPr>
          <w:p>
            <w:pPr>
              <w:widowControl/>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维权援助平台运行</w:t>
            </w:r>
          </w:p>
        </w:tc>
        <w:tc>
          <w:tcPr>
            <w:tcW w:w="3239" w:type="dxa"/>
            <w:noWrap w:val="0"/>
            <w:vAlign w:val="center"/>
          </w:tcPr>
          <w:p>
            <w:pPr>
              <w:widowControl/>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eastAsia="zh-CN" w:bidi="ar"/>
              </w:rPr>
              <w:t>平台运行维护</w:t>
            </w:r>
          </w:p>
        </w:tc>
        <w:tc>
          <w:tcPr>
            <w:tcW w:w="2809" w:type="dxa"/>
            <w:noWrap w:val="0"/>
            <w:vAlign w:val="center"/>
          </w:tcPr>
          <w:p>
            <w:pPr>
              <w:widowControl/>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157600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77" w:type="dxa"/>
            <w:gridSpan w:val="2"/>
            <w:noWrap w:val="0"/>
            <w:vAlign w:val="center"/>
          </w:tcPr>
          <w:p>
            <w:pPr>
              <w:widowControl/>
              <w:jc w:val="center"/>
              <w:textAlignment w:val="center"/>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合计</w:t>
            </w:r>
          </w:p>
        </w:tc>
        <w:tc>
          <w:tcPr>
            <w:tcW w:w="2809" w:type="dxa"/>
            <w:noWrap w:val="0"/>
            <w:vAlign w:val="center"/>
          </w:tcPr>
          <w:p>
            <w:pPr>
              <w:widowControl/>
              <w:jc w:val="center"/>
              <w:textAlignment w:val="center"/>
              <w:rPr>
                <w:rFonts w:hint="default" w:ascii="宋体" w:hAnsi="宋体" w:eastAsia="宋体" w:cs="宋体"/>
                <w:b/>
                <w:bCs/>
                <w:color w:val="000000"/>
                <w:kern w:val="0"/>
                <w:sz w:val="24"/>
                <w:highlight w:val="none"/>
                <w:lang w:val="en-US" w:eastAsia="zh-CN" w:bidi="ar"/>
              </w:rPr>
            </w:pPr>
            <w:r>
              <w:rPr>
                <w:rFonts w:hint="eastAsia" w:ascii="宋体" w:hAnsi="宋体" w:cs="宋体"/>
                <w:b/>
                <w:bCs/>
                <w:color w:val="000000"/>
                <w:kern w:val="0"/>
                <w:sz w:val="24"/>
                <w:highlight w:val="none"/>
                <w:lang w:val="en-US" w:eastAsia="zh-CN" w:bidi="ar"/>
              </w:rPr>
              <w:t xml:space="preserve"> 157600</w:t>
            </w:r>
          </w:p>
        </w:tc>
      </w:tr>
    </w:tbl>
    <w:p>
      <w:pPr>
        <w:numPr>
          <w:ilvl w:val="0"/>
          <w:numId w:val="4"/>
        </w:numPr>
        <w:spacing w:line="560" w:lineRule="exact"/>
        <w:ind w:left="0" w:leftChars="0"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知识产权保护中心运行经费项目</w:t>
      </w:r>
    </w:p>
    <w:p>
      <w:p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根据南昌市人民政府办公厅关于印发《中国（南昌）知识产权保护中心建设方案的通知》（洪府厅发</w:t>
      </w:r>
      <w:r>
        <w:rPr>
          <w:rFonts w:hint="eastAsia" w:ascii="仿宋_GB2312" w:hAnsi="仿宋_GB2312" w:eastAsia="仿宋_GB2312" w:cs="仿宋_GB2312"/>
          <w:color w:val="000000"/>
          <w:kern w:val="0"/>
          <w:sz w:val="32"/>
          <w:szCs w:val="32"/>
          <w:highlight w:val="none"/>
        </w:rPr>
        <w:t>〔</w:t>
      </w:r>
      <w:r>
        <w:rPr>
          <w:rFonts w:hint="eastAsia" w:ascii="仿宋_GB2312" w:hAnsi="宋体" w:eastAsia="仿宋_GB2312" w:cs="宋体"/>
          <w:color w:val="000000"/>
          <w:kern w:val="0"/>
          <w:sz w:val="32"/>
          <w:szCs w:val="32"/>
          <w:highlight w:val="none"/>
        </w:rPr>
        <w:t>2018</w:t>
      </w:r>
      <w:r>
        <w:rPr>
          <w:rFonts w:hint="eastAsia" w:ascii="仿宋_GB2312" w:hAnsi="仿宋_GB2312" w:eastAsia="仿宋_GB2312" w:cs="仿宋_GB2312"/>
          <w:color w:val="000000"/>
          <w:kern w:val="0"/>
          <w:sz w:val="32"/>
          <w:szCs w:val="32"/>
          <w:highlight w:val="none"/>
        </w:rPr>
        <w:t>〕</w:t>
      </w:r>
      <w:r>
        <w:rPr>
          <w:rFonts w:hint="eastAsia" w:ascii="仿宋" w:hAnsi="仿宋" w:eastAsia="仿宋" w:cs="仿宋"/>
          <w:color w:val="000000"/>
          <w:sz w:val="32"/>
          <w:szCs w:val="32"/>
          <w:highlight w:val="none"/>
        </w:rPr>
        <w:t>8号）</w:t>
      </w:r>
      <w:r>
        <w:rPr>
          <w:rFonts w:hint="eastAsia" w:ascii="仿宋_GB2312" w:hAnsi="仿宋_GB2312" w:eastAsia="仿宋_GB2312" w:cs="仿宋_GB2312"/>
          <w:sz w:val="32"/>
          <w:szCs w:val="32"/>
          <w:highlight w:val="none"/>
        </w:rPr>
        <w:t>，</w:t>
      </w:r>
      <w:r>
        <w:rPr>
          <w:rFonts w:hint="eastAsia" w:ascii="仿宋_GB2312" w:hAnsi="宋体" w:eastAsia="仿宋_GB2312"/>
          <w:sz w:val="32"/>
          <w:szCs w:val="32"/>
          <w:highlight w:val="none"/>
        </w:rPr>
        <w:t>明确从2019年起，市财政将保护中心建设和运行经费纳入预算，每年安排300万元</w:t>
      </w:r>
      <w:r>
        <w:rPr>
          <w:rFonts w:hint="eastAsia" w:ascii="仿宋" w:hAnsi="仿宋" w:eastAsia="仿宋" w:cs="仿宋"/>
          <w:sz w:val="32"/>
          <w:szCs w:val="32"/>
          <w:highlight w:val="none"/>
          <w:lang w:eastAsia="zh-CN"/>
        </w:rPr>
        <w:t>。</w:t>
      </w:r>
    </w:p>
    <w:p>
      <w:pPr>
        <w:spacing w:line="600" w:lineRule="exact"/>
        <w:ind w:firstLine="640" w:firstLineChars="200"/>
        <w:rPr>
          <w:rFonts w:hint="eastAsia" w:ascii="仿宋" w:hAnsi="仿宋" w:eastAsia="仿宋" w:cs="仿宋"/>
          <w:sz w:val="32"/>
          <w:szCs w:val="32"/>
          <w:highlight w:val="none"/>
          <w:lang w:eastAsia="zh-CN"/>
        </w:rPr>
      </w:pPr>
      <w:r>
        <w:rPr>
          <w:rFonts w:hint="eastAsia" w:ascii="仿宋_GB2312" w:hAnsi="仿宋_GB2312" w:eastAsia="仿宋_GB2312" w:cs="仿宋_GB2312"/>
          <w:sz w:val="32"/>
          <w:szCs w:val="32"/>
          <w:highlight w:val="none"/>
        </w:rPr>
        <w:t>截止到20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年12月</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财政安排</w:t>
      </w:r>
      <w:r>
        <w:rPr>
          <w:rFonts w:hint="eastAsia" w:ascii="仿宋_GB2312" w:hAnsi="仿宋_GB2312" w:eastAsia="仿宋_GB2312" w:cs="仿宋_GB2312"/>
          <w:sz w:val="32"/>
          <w:szCs w:val="32"/>
          <w:highlight w:val="none"/>
          <w:lang w:val="en-US" w:eastAsia="zh-CN"/>
        </w:rPr>
        <w:t>307.47</w:t>
      </w:r>
      <w:r>
        <w:rPr>
          <w:rFonts w:hint="eastAsia" w:ascii="仿宋_GB2312" w:hAnsi="仿宋_GB2312" w:eastAsia="仿宋_GB2312" w:cs="仿宋_GB2312"/>
          <w:sz w:val="32"/>
          <w:szCs w:val="32"/>
          <w:highlight w:val="none"/>
        </w:rPr>
        <w:t>万元</w:t>
      </w:r>
      <w:r>
        <w:rPr>
          <w:rFonts w:hint="eastAsia" w:ascii="仿宋" w:hAnsi="仿宋" w:eastAsia="仿宋" w:cs="仿宋"/>
          <w:color w:val="000000"/>
          <w:sz w:val="32"/>
          <w:szCs w:val="32"/>
          <w:highlight w:val="none"/>
        </w:rPr>
        <w:t>（其中：本年度预算为</w:t>
      </w:r>
      <w:r>
        <w:rPr>
          <w:rFonts w:hint="eastAsia" w:ascii="仿宋" w:hAnsi="仿宋" w:eastAsia="仿宋" w:cs="仿宋"/>
          <w:color w:val="000000"/>
          <w:sz w:val="32"/>
          <w:szCs w:val="32"/>
          <w:highlight w:val="none"/>
          <w:lang w:val="en-US" w:eastAsia="zh-CN"/>
        </w:rPr>
        <w:t>300</w:t>
      </w:r>
      <w:r>
        <w:rPr>
          <w:rFonts w:hint="eastAsia" w:ascii="仿宋" w:hAnsi="仿宋" w:eastAsia="仿宋" w:cs="仿宋"/>
          <w:color w:val="000000"/>
          <w:sz w:val="32"/>
          <w:szCs w:val="32"/>
          <w:highlight w:val="none"/>
        </w:rPr>
        <w:t>万元，上年结余</w:t>
      </w:r>
      <w:r>
        <w:rPr>
          <w:rFonts w:hint="eastAsia" w:ascii="仿宋" w:hAnsi="仿宋" w:eastAsia="仿宋" w:cs="仿宋"/>
          <w:color w:val="000000"/>
          <w:sz w:val="32"/>
          <w:szCs w:val="32"/>
          <w:highlight w:val="none"/>
          <w:lang w:val="en-US" w:eastAsia="zh-CN"/>
        </w:rPr>
        <w:t>7.47</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实际到位307.47万元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2020年</w:t>
      </w:r>
      <w:r>
        <w:rPr>
          <w:rFonts w:hint="eastAsia" w:ascii="仿宋_GB2312" w:hAnsi="仿宋_GB2312" w:eastAsia="仿宋_GB2312" w:cs="仿宋_GB2312"/>
          <w:sz w:val="32"/>
          <w:szCs w:val="32"/>
          <w:highlight w:val="none"/>
        </w:rPr>
        <w:t>实际支出</w:t>
      </w:r>
      <w:r>
        <w:rPr>
          <w:rFonts w:hint="eastAsia" w:ascii="仿宋_GB2312" w:hAnsi="仿宋_GB2312" w:eastAsia="仿宋_GB2312" w:cs="仿宋_GB2312"/>
          <w:sz w:val="32"/>
          <w:szCs w:val="32"/>
          <w:highlight w:val="none"/>
          <w:lang w:val="en-US" w:eastAsia="zh-CN"/>
        </w:rPr>
        <w:t>208.94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年末</w:t>
      </w:r>
      <w:r>
        <w:rPr>
          <w:rFonts w:hint="eastAsia" w:ascii="仿宋" w:hAnsi="仿宋" w:eastAsia="仿宋" w:cs="仿宋"/>
          <w:sz w:val="32"/>
          <w:szCs w:val="32"/>
          <w:highlight w:val="none"/>
        </w:rPr>
        <w:t>结余</w:t>
      </w:r>
      <w:r>
        <w:rPr>
          <w:rFonts w:hint="eastAsia" w:ascii="仿宋" w:hAnsi="仿宋" w:eastAsia="仿宋" w:cs="仿宋"/>
          <w:sz w:val="32"/>
          <w:szCs w:val="32"/>
          <w:highlight w:val="none"/>
          <w:lang w:val="en-US" w:eastAsia="zh-CN"/>
        </w:rPr>
        <w:t xml:space="preserve"> 98.53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预算执行率67.95%。</w:t>
      </w:r>
      <w:r>
        <w:rPr>
          <w:rFonts w:hint="eastAsia" w:ascii="仿宋" w:hAnsi="仿宋" w:eastAsia="仿宋" w:cs="仿宋"/>
          <w:sz w:val="32"/>
          <w:szCs w:val="32"/>
          <w:highlight w:val="none"/>
          <w:lang w:eastAsia="zh-CN"/>
        </w:rPr>
        <w:t>具体明细如下：</w:t>
      </w:r>
    </w:p>
    <w:tbl>
      <w:tblPr>
        <w:tblStyle w:val="8"/>
        <w:tblW w:w="0" w:type="auto"/>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1"/>
        <w:gridCol w:w="3014"/>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目标</w:t>
            </w: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完成项目</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支出金额（万元）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开展电子信息专利导航项目</w:t>
            </w:r>
          </w:p>
        </w:tc>
        <w:tc>
          <w:tcPr>
            <w:tcW w:w="3245" w:type="dxa"/>
            <w:noWrap w:val="0"/>
            <w:vAlign w:val="center"/>
          </w:tcPr>
          <w:p>
            <w:pPr>
              <w:spacing w:line="560" w:lineRule="exact"/>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电子信息、VR产业专利预警项目费</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vMerge w:val="restart"/>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提高专利预审数量和质量，强化对企业服务</w:t>
            </w: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color w:val="000000"/>
                <w:kern w:val="0"/>
                <w:sz w:val="30"/>
                <w:szCs w:val="30"/>
                <w:highlight w:val="none"/>
                <w:lang w:eastAsia="zh-CN"/>
              </w:rPr>
              <w:t>租用</w:t>
            </w:r>
            <w:r>
              <w:rPr>
                <w:rFonts w:hint="eastAsia" w:ascii="仿宋" w:hAnsi="仿宋" w:eastAsia="仿宋" w:cs="仿宋"/>
                <w:color w:val="000000"/>
                <w:kern w:val="0"/>
                <w:sz w:val="30"/>
                <w:szCs w:val="30"/>
                <w:highlight w:val="none"/>
              </w:rPr>
              <w:t>incoPat全球科技分析运营平台</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vMerge w:val="continue"/>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租用预审流程管理系统</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3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完善知识产权协同保护</w:t>
            </w:r>
          </w:p>
          <w:p>
            <w:pPr>
              <w:spacing w:line="560" w:lineRule="exact"/>
              <w:jc w:val="center"/>
              <w:rPr>
                <w:rFonts w:hint="eastAsia" w:ascii="仿宋" w:hAnsi="仿宋" w:eastAsia="仿宋" w:cs="仿宋"/>
                <w:sz w:val="30"/>
                <w:szCs w:val="30"/>
                <w:highlight w:val="none"/>
                <w:vertAlign w:val="baseline"/>
                <w:lang w:val="en-US" w:eastAsia="zh-CN"/>
              </w:rPr>
            </w:pPr>
          </w:p>
        </w:tc>
        <w:tc>
          <w:tcPr>
            <w:tcW w:w="3245" w:type="dxa"/>
            <w:noWrap w:val="0"/>
            <w:vAlign w:val="center"/>
          </w:tcPr>
          <w:p>
            <w:pPr>
              <w:spacing w:line="560" w:lineRule="exact"/>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知识产权调解案件、专职专家补贴等</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noWrap w:val="0"/>
            <w:vAlign w:val="center"/>
          </w:tcPr>
          <w:p>
            <w:pPr>
              <w:spacing w:line="560" w:lineRule="exact"/>
              <w:jc w:val="center"/>
              <w:rPr>
                <w:rFonts w:hint="eastAsia" w:ascii="仿宋" w:hAnsi="仿宋" w:eastAsia="仿宋" w:cs="仿宋"/>
                <w:kern w:val="2"/>
                <w:sz w:val="30"/>
                <w:szCs w:val="30"/>
                <w:highlight w:val="none"/>
                <w:vertAlign w:val="baseline"/>
                <w:lang w:val="en-US" w:eastAsia="zh-CN" w:bidi="ar-SA"/>
              </w:rPr>
            </w:pPr>
            <w:r>
              <w:rPr>
                <w:rFonts w:hint="eastAsia" w:ascii="仿宋" w:hAnsi="仿宋" w:eastAsia="仿宋" w:cs="仿宋"/>
                <w:sz w:val="30"/>
                <w:szCs w:val="30"/>
                <w:highlight w:val="none"/>
                <w:vertAlign w:val="baseline"/>
                <w:lang w:val="en-US" w:eastAsia="zh-CN"/>
              </w:rPr>
              <w:t>物业管理服务外包</w:t>
            </w:r>
          </w:p>
        </w:tc>
        <w:tc>
          <w:tcPr>
            <w:tcW w:w="3245" w:type="dxa"/>
            <w:noWrap w:val="0"/>
            <w:vAlign w:val="center"/>
          </w:tcPr>
          <w:p>
            <w:pPr>
              <w:spacing w:line="560" w:lineRule="exact"/>
              <w:jc w:val="both"/>
              <w:rPr>
                <w:rFonts w:hint="eastAsia" w:ascii="仿宋" w:hAnsi="仿宋" w:eastAsia="仿宋" w:cs="仿宋"/>
                <w:kern w:val="2"/>
                <w:sz w:val="30"/>
                <w:szCs w:val="30"/>
                <w:highlight w:val="none"/>
                <w:vertAlign w:val="baseline"/>
                <w:lang w:val="en-US" w:eastAsia="zh-CN" w:bidi="ar-SA"/>
              </w:rPr>
            </w:pPr>
            <w:r>
              <w:rPr>
                <w:rFonts w:hint="eastAsia" w:ascii="仿宋" w:hAnsi="仿宋" w:eastAsia="仿宋" w:cs="仿宋"/>
                <w:sz w:val="30"/>
                <w:szCs w:val="30"/>
                <w:highlight w:val="none"/>
                <w:vertAlign w:val="baseline"/>
                <w:lang w:val="en-US" w:eastAsia="zh-CN"/>
              </w:rPr>
              <w:t>物业管理服务费</w:t>
            </w:r>
          </w:p>
        </w:tc>
        <w:tc>
          <w:tcPr>
            <w:tcW w:w="2970" w:type="dxa"/>
            <w:noWrap w:val="0"/>
            <w:vAlign w:val="center"/>
          </w:tcPr>
          <w:p>
            <w:pPr>
              <w:spacing w:line="560" w:lineRule="exact"/>
              <w:jc w:val="center"/>
              <w:rPr>
                <w:rFonts w:hint="eastAsia" w:ascii="仿宋" w:hAnsi="仿宋" w:eastAsia="仿宋" w:cs="仿宋"/>
                <w:kern w:val="2"/>
                <w:sz w:val="30"/>
                <w:szCs w:val="30"/>
                <w:highlight w:val="none"/>
                <w:vertAlign w:val="baseline"/>
                <w:lang w:val="en-US" w:eastAsia="zh-CN" w:bidi="ar-SA"/>
              </w:rPr>
            </w:pPr>
            <w:r>
              <w:rPr>
                <w:rFonts w:hint="eastAsia" w:ascii="仿宋" w:hAnsi="仿宋" w:eastAsia="仿宋" w:cs="仿宋"/>
                <w:sz w:val="30"/>
                <w:szCs w:val="30"/>
                <w:highlight w:val="none"/>
                <w:vertAlign w:val="baseline"/>
                <w:lang w:val="en-US" w:eastAsia="zh-CN"/>
              </w:rPr>
              <w:t>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vMerge w:val="restart"/>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保护中心日常运行</w:t>
            </w: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E系统专线费网络费</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vMerge w:val="continue"/>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差旅费</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vMerge w:val="continue"/>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水电费</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vMerge w:val="continue"/>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聘用人员工资</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70" w:type="dxa"/>
            <w:vMerge w:val="continue"/>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p>
        </w:tc>
        <w:tc>
          <w:tcPr>
            <w:tcW w:w="3245"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中心日常运行费</w:t>
            </w:r>
          </w:p>
        </w:tc>
        <w:tc>
          <w:tcPr>
            <w:tcW w:w="2970" w:type="dxa"/>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49.56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noWrap w:val="0"/>
            <w:vAlign w:val="center"/>
          </w:tcPr>
          <w:p>
            <w:pPr>
              <w:spacing w:line="560" w:lineRule="exact"/>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合计</w:t>
            </w:r>
          </w:p>
        </w:tc>
        <w:tc>
          <w:tcPr>
            <w:tcW w:w="6215" w:type="dxa"/>
            <w:gridSpan w:val="2"/>
            <w:noWrap w:val="0"/>
            <w:vAlign w:val="center"/>
          </w:tcPr>
          <w:p>
            <w:pPr>
              <w:spacing w:line="560" w:lineRule="exact"/>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208.94</w:t>
            </w:r>
          </w:p>
        </w:tc>
      </w:tr>
    </w:tbl>
    <w:p>
      <w:pPr>
        <w:numPr>
          <w:ilvl w:val="0"/>
          <w:numId w:val="0"/>
        </w:numPr>
        <w:spacing w:line="560" w:lineRule="exact"/>
        <w:ind w:leftChars="200"/>
        <w:rPr>
          <w:rFonts w:hint="eastAsia" w:ascii="仿宋" w:hAnsi="仿宋" w:eastAsia="仿宋" w:cs="仿宋"/>
          <w:color w:val="000000"/>
          <w:sz w:val="32"/>
          <w:szCs w:val="32"/>
          <w:highlight w:val="none"/>
        </w:rPr>
      </w:pPr>
    </w:p>
    <w:p>
      <w:pPr>
        <w:spacing w:line="560" w:lineRule="exact"/>
        <w:ind w:left="420" w:leftChars="200" w:firstLine="320" w:firstLineChars="1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（5）知识产权管理费项目</w:t>
      </w:r>
    </w:p>
    <w:p>
      <w:pPr>
        <w:spacing w:line="56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知识产权管理费预算</w:t>
      </w:r>
      <w:r>
        <w:rPr>
          <w:rFonts w:hint="eastAsia" w:ascii="仿宋" w:hAnsi="仿宋" w:eastAsia="仿宋" w:cs="仿宋"/>
          <w:color w:val="000000"/>
          <w:sz w:val="32"/>
          <w:szCs w:val="32"/>
          <w:highlight w:val="none"/>
          <w:lang w:val="en-US" w:eastAsia="zh-CN"/>
        </w:rPr>
        <w:t>50</w:t>
      </w:r>
      <w:r>
        <w:rPr>
          <w:rFonts w:hint="eastAsia" w:ascii="仿宋" w:hAnsi="仿宋" w:eastAsia="仿宋" w:cs="仿宋"/>
          <w:color w:val="000000"/>
          <w:sz w:val="32"/>
          <w:szCs w:val="32"/>
          <w:highlight w:val="none"/>
        </w:rPr>
        <w:t>万元，实际到位</w:t>
      </w:r>
      <w:r>
        <w:rPr>
          <w:rFonts w:hint="eastAsia" w:ascii="仿宋" w:hAnsi="仿宋" w:eastAsia="仿宋" w:cs="仿宋"/>
          <w:color w:val="000000"/>
          <w:sz w:val="32"/>
          <w:szCs w:val="32"/>
          <w:highlight w:val="none"/>
          <w:lang w:val="en-US" w:eastAsia="zh-CN"/>
        </w:rPr>
        <w:t>22</w:t>
      </w:r>
      <w:r>
        <w:rPr>
          <w:rFonts w:hint="eastAsia" w:ascii="仿宋" w:hAnsi="仿宋" w:eastAsia="仿宋" w:cs="仿宋"/>
          <w:color w:val="000000"/>
          <w:sz w:val="32"/>
          <w:szCs w:val="32"/>
          <w:highlight w:val="none"/>
        </w:rPr>
        <w:t>万元，实际支出</w:t>
      </w:r>
      <w:r>
        <w:rPr>
          <w:rFonts w:hint="eastAsia" w:ascii="仿宋" w:hAnsi="仿宋" w:eastAsia="仿宋" w:cs="仿宋"/>
          <w:color w:val="000000"/>
          <w:sz w:val="32"/>
          <w:szCs w:val="32"/>
          <w:highlight w:val="none"/>
          <w:lang w:val="en-US" w:eastAsia="zh-CN"/>
        </w:rPr>
        <w:t>2.91</w:t>
      </w:r>
      <w:r>
        <w:rPr>
          <w:rFonts w:hint="eastAsia" w:ascii="仿宋" w:hAnsi="仿宋" w:eastAsia="仿宋" w:cs="仿宋"/>
          <w:color w:val="000000"/>
          <w:sz w:val="32"/>
          <w:szCs w:val="32"/>
          <w:highlight w:val="none"/>
        </w:rPr>
        <w:t>万元，预算执行率</w:t>
      </w:r>
      <w:r>
        <w:rPr>
          <w:rFonts w:hint="eastAsia" w:ascii="仿宋" w:hAnsi="仿宋" w:eastAsia="仿宋" w:cs="仿宋"/>
          <w:color w:val="000000"/>
          <w:sz w:val="32"/>
          <w:szCs w:val="32"/>
          <w:highlight w:val="none"/>
          <w:lang w:val="en-US" w:eastAsia="zh-CN"/>
        </w:rPr>
        <w:t>13.23</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具体支出为专利数据库建设第</w:t>
      </w:r>
      <w:r>
        <w:rPr>
          <w:rFonts w:hint="eastAsia" w:ascii="仿宋" w:hAnsi="仿宋" w:eastAsia="仿宋" w:cs="仿宋"/>
          <w:color w:val="000000"/>
          <w:sz w:val="32"/>
          <w:szCs w:val="32"/>
          <w:highlight w:val="none"/>
          <w:lang w:val="en-US" w:eastAsia="zh-CN"/>
        </w:rPr>
        <w:t>三</w:t>
      </w:r>
      <w:r>
        <w:rPr>
          <w:rFonts w:hint="eastAsia" w:ascii="仿宋" w:hAnsi="仿宋" w:eastAsia="仿宋" w:cs="仿宋"/>
          <w:color w:val="000000"/>
          <w:sz w:val="32"/>
          <w:szCs w:val="32"/>
          <w:highlight w:val="none"/>
        </w:rPr>
        <w:t>期费用</w:t>
      </w:r>
      <w:r>
        <w:rPr>
          <w:rFonts w:hint="eastAsia" w:ascii="仿宋" w:hAnsi="仿宋" w:eastAsia="仿宋" w:cs="仿宋"/>
          <w:color w:val="000000"/>
          <w:sz w:val="32"/>
          <w:szCs w:val="32"/>
          <w:highlight w:val="none"/>
          <w:lang w:val="en-US" w:eastAsia="zh-CN"/>
        </w:rPr>
        <w:t>2.91</w:t>
      </w:r>
      <w:r>
        <w:rPr>
          <w:rFonts w:hint="eastAsia" w:ascii="仿宋" w:hAnsi="仿宋" w:eastAsia="仿宋" w:cs="仿宋"/>
          <w:color w:val="000000"/>
          <w:sz w:val="32"/>
          <w:szCs w:val="32"/>
          <w:highlight w:val="none"/>
        </w:rPr>
        <w:t>万元。</w:t>
      </w:r>
    </w:p>
    <w:p>
      <w:pPr>
        <w:numPr>
          <w:ilvl w:val="0"/>
          <w:numId w:val="2"/>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项目组织管理情况</w:t>
      </w:r>
    </w:p>
    <w:p>
      <w:pPr>
        <w:shd w:val="clear" w:color="auto" w:fill="FFFFFF"/>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ascii="仿宋" w:hAnsi="仿宋" w:eastAsia="仿宋" w:cs="仿宋"/>
          <w:sz w:val="32"/>
          <w:szCs w:val="32"/>
          <w:highlight w:val="none"/>
        </w:rPr>
        <w:t>）根据本部门本行业的实际情况，提出年度工作重点，编制专项资金年度项目计划安排；</w:t>
      </w:r>
    </w:p>
    <w:p>
      <w:pPr>
        <w:shd w:val="clear" w:color="auto" w:fill="FFFFFF"/>
        <w:spacing w:line="560" w:lineRule="exact"/>
        <w:ind w:firstLine="640" w:firstLineChars="200"/>
        <w:rPr>
          <w:rFonts w:ascii="仿宋" w:hAnsi="仿宋" w:eastAsia="仿宋" w:cs="仿宋"/>
          <w:sz w:val="32"/>
          <w:szCs w:val="32"/>
          <w:highlight w:val="none"/>
        </w:rPr>
      </w:pPr>
      <w:r>
        <w:rPr>
          <w:rFonts w:ascii="仿宋" w:hAnsi="仿宋" w:eastAsia="仿宋" w:cs="仿宋"/>
          <w:sz w:val="32"/>
          <w:szCs w:val="32"/>
          <w:highlight w:val="none"/>
        </w:rPr>
        <w:t>（</w:t>
      </w:r>
      <w:r>
        <w:rPr>
          <w:rFonts w:hint="eastAsia" w:ascii="仿宋" w:hAnsi="仿宋" w:eastAsia="仿宋" w:cs="仿宋"/>
          <w:sz w:val="32"/>
          <w:szCs w:val="32"/>
          <w:highlight w:val="none"/>
        </w:rPr>
        <w:t>2</w:t>
      </w:r>
      <w:r>
        <w:rPr>
          <w:rFonts w:ascii="仿宋" w:hAnsi="仿宋" w:eastAsia="仿宋" w:cs="仿宋"/>
          <w:sz w:val="32"/>
          <w:szCs w:val="32"/>
          <w:highlight w:val="none"/>
        </w:rPr>
        <w:t>）对专项资金项目的组织实施，受理专项资金项目的申请、考察、评估、实施、验收、公示、审核等工作；</w:t>
      </w:r>
    </w:p>
    <w:p>
      <w:pPr>
        <w:shd w:val="clear" w:color="auto" w:fill="FFFFFF"/>
        <w:spacing w:line="560" w:lineRule="exact"/>
        <w:ind w:firstLine="640" w:firstLineChars="200"/>
        <w:rPr>
          <w:rFonts w:ascii="仿宋" w:hAnsi="仿宋" w:eastAsia="仿宋" w:cs="仿宋"/>
          <w:sz w:val="32"/>
          <w:szCs w:val="32"/>
          <w:highlight w:val="none"/>
        </w:rPr>
      </w:pPr>
      <w:r>
        <w:rPr>
          <w:rFonts w:ascii="仿宋" w:hAnsi="仿宋" w:eastAsia="仿宋" w:cs="仿宋"/>
          <w:sz w:val="32"/>
          <w:szCs w:val="32"/>
          <w:highlight w:val="none"/>
        </w:rPr>
        <w:t>（</w:t>
      </w:r>
      <w:r>
        <w:rPr>
          <w:rFonts w:hint="eastAsia" w:ascii="仿宋" w:hAnsi="仿宋" w:eastAsia="仿宋" w:cs="仿宋"/>
          <w:sz w:val="32"/>
          <w:szCs w:val="32"/>
          <w:highlight w:val="none"/>
        </w:rPr>
        <w:t>3</w:t>
      </w:r>
      <w:r>
        <w:rPr>
          <w:rFonts w:ascii="仿宋" w:hAnsi="仿宋" w:eastAsia="仿宋" w:cs="仿宋"/>
          <w:sz w:val="32"/>
          <w:szCs w:val="32"/>
          <w:highlight w:val="none"/>
        </w:rPr>
        <w:t>）建设专项资金项目库，并对项目库进行管理；</w:t>
      </w:r>
    </w:p>
    <w:p>
      <w:pPr>
        <w:shd w:val="clear" w:color="auto" w:fill="FFFFFF"/>
        <w:spacing w:line="560" w:lineRule="exact"/>
        <w:ind w:firstLine="640" w:firstLineChars="200"/>
        <w:rPr>
          <w:rFonts w:ascii="仿宋" w:hAnsi="仿宋" w:eastAsia="仿宋" w:cs="仿宋"/>
          <w:sz w:val="32"/>
          <w:szCs w:val="32"/>
          <w:highlight w:val="none"/>
        </w:rPr>
      </w:pPr>
      <w:r>
        <w:rPr>
          <w:rFonts w:ascii="仿宋" w:hAnsi="仿宋" w:eastAsia="仿宋" w:cs="仿宋"/>
          <w:sz w:val="32"/>
          <w:szCs w:val="32"/>
          <w:highlight w:val="none"/>
        </w:rPr>
        <w:t>（</w:t>
      </w:r>
      <w:r>
        <w:rPr>
          <w:rFonts w:hint="eastAsia" w:ascii="仿宋" w:hAnsi="仿宋" w:eastAsia="仿宋" w:cs="仿宋"/>
          <w:sz w:val="32"/>
          <w:szCs w:val="32"/>
          <w:highlight w:val="none"/>
        </w:rPr>
        <w:t>4</w:t>
      </w:r>
      <w:r>
        <w:rPr>
          <w:rFonts w:ascii="仿宋" w:hAnsi="仿宋" w:eastAsia="仿宋" w:cs="仿宋"/>
          <w:sz w:val="32"/>
          <w:szCs w:val="32"/>
          <w:highlight w:val="none"/>
        </w:rPr>
        <w:t>）管理和使用项目资金；</w:t>
      </w:r>
    </w:p>
    <w:p>
      <w:pPr>
        <w:shd w:val="clear" w:color="auto" w:fill="FFFFFF"/>
        <w:spacing w:line="560" w:lineRule="exact"/>
        <w:ind w:firstLine="640" w:firstLineChars="200"/>
        <w:rPr>
          <w:rFonts w:ascii="仿宋" w:hAnsi="仿宋" w:eastAsia="仿宋" w:cs="仿宋"/>
          <w:sz w:val="32"/>
          <w:szCs w:val="32"/>
          <w:highlight w:val="none"/>
        </w:rPr>
      </w:pPr>
      <w:r>
        <w:rPr>
          <w:rFonts w:ascii="仿宋" w:hAnsi="仿宋" w:eastAsia="仿宋" w:cs="仿宋"/>
          <w:sz w:val="32"/>
          <w:szCs w:val="32"/>
          <w:highlight w:val="none"/>
        </w:rPr>
        <w:t>（</w:t>
      </w:r>
      <w:r>
        <w:rPr>
          <w:rFonts w:hint="eastAsia" w:ascii="仿宋" w:hAnsi="仿宋" w:eastAsia="仿宋" w:cs="仿宋"/>
          <w:sz w:val="32"/>
          <w:szCs w:val="32"/>
          <w:highlight w:val="none"/>
        </w:rPr>
        <w:t>5</w:t>
      </w:r>
      <w:r>
        <w:rPr>
          <w:rFonts w:ascii="仿宋" w:hAnsi="仿宋" w:eastAsia="仿宋" w:cs="仿宋"/>
          <w:sz w:val="32"/>
          <w:szCs w:val="32"/>
          <w:highlight w:val="none"/>
        </w:rPr>
        <w:t>）接受市财政局</w:t>
      </w:r>
      <w:r>
        <w:rPr>
          <w:rFonts w:hint="eastAsia" w:ascii="仿宋" w:hAnsi="仿宋" w:eastAsia="仿宋" w:cs="仿宋"/>
          <w:sz w:val="32"/>
          <w:szCs w:val="32"/>
          <w:highlight w:val="none"/>
          <w:lang w:val="en-US" w:eastAsia="zh-CN"/>
        </w:rPr>
        <w:t>的</w:t>
      </w:r>
      <w:r>
        <w:rPr>
          <w:rFonts w:ascii="仿宋" w:hAnsi="仿宋" w:eastAsia="仿宋" w:cs="仿宋"/>
          <w:sz w:val="32"/>
          <w:szCs w:val="32"/>
          <w:highlight w:val="none"/>
        </w:rPr>
        <w:t>检查和指导。</w:t>
      </w:r>
    </w:p>
    <w:p>
      <w:pPr>
        <w:spacing w:line="560" w:lineRule="exact"/>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（二）项目绩效目标</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1、项目绩效总目标</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围绕市委、市政府年度工作重点，根据20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年度工作总体目标和工作重点任务，我局20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年度知识产权专项工作</w:t>
      </w:r>
      <w:r>
        <w:rPr>
          <w:rFonts w:hint="eastAsia" w:ascii="仿宋_GB2312" w:hAnsi="仿宋_GB2312" w:eastAsia="仿宋_GB2312" w:cs="仿宋_GB2312"/>
          <w:sz w:val="32"/>
          <w:szCs w:val="32"/>
          <w:highlight w:val="none"/>
        </w:rPr>
        <w:t>总</w:t>
      </w:r>
      <w:r>
        <w:rPr>
          <w:rFonts w:hint="eastAsia" w:ascii="仿宋" w:hAnsi="仿宋" w:eastAsia="仿宋" w:cs="仿宋"/>
          <w:sz w:val="32"/>
          <w:szCs w:val="32"/>
          <w:highlight w:val="none"/>
        </w:rPr>
        <w:t>目标:</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2020年我市</w:t>
      </w:r>
      <w:r>
        <w:rPr>
          <w:rFonts w:hint="eastAsia" w:ascii="仿宋" w:hAnsi="仿宋" w:eastAsia="仿宋" w:cs="仿宋"/>
          <w:sz w:val="32"/>
          <w:szCs w:val="32"/>
          <w:highlight w:val="none"/>
        </w:rPr>
        <w:t>专利申请量同比增加20%，授权量同比增加15%</w:t>
      </w:r>
      <w:r>
        <w:rPr>
          <w:rFonts w:hint="eastAsia" w:ascii="仿宋_GB2312" w:hAnsi="仿宋_GB2312" w:eastAsia="仿宋_GB2312" w:cs="仿宋_GB2312"/>
          <w:sz w:val="32"/>
          <w:szCs w:val="32"/>
          <w:highlight w:val="none"/>
        </w:rPr>
        <w:t>，企业累计拥有国内外有效发明专利奖励</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家，知识产权贯标企业奖励</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家，培育</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家优势示范企业，知识产权质押融资补助</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开展知识产权执法专项行动5次以上，</w:t>
      </w:r>
      <w:r>
        <w:rPr>
          <w:rFonts w:hint="eastAsia" w:ascii="仿宋_GB2312" w:hAnsi="仿宋_GB2312" w:eastAsia="仿宋_GB2312" w:cs="仿宋_GB2312"/>
          <w:sz w:val="32"/>
          <w:szCs w:val="32"/>
          <w:highlight w:val="none"/>
        </w:rPr>
        <w:t>知识产权行政执法案件</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0件，宣传培训</w:t>
      </w:r>
      <w:r>
        <w:rPr>
          <w:rFonts w:hint="eastAsia" w:ascii="仿宋_GB2312" w:hAnsi="仿宋_GB2312" w:eastAsia="仿宋_GB2312" w:cs="仿宋_GB2312"/>
          <w:sz w:val="32"/>
          <w:szCs w:val="32"/>
          <w:highlight w:val="none"/>
          <w:lang w:val="en-US" w:eastAsia="zh-CN"/>
        </w:rPr>
        <w:t>5次以上</w:t>
      </w:r>
      <w:r>
        <w:rPr>
          <w:rFonts w:hint="eastAsia" w:ascii="仿宋_GB2312" w:hAnsi="仿宋_GB2312" w:eastAsia="仿宋_GB2312" w:cs="仿宋_GB2312"/>
          <w:sz w:val="32"/>
          <w:szCs w:val="32"/>
          <w:highlight w:val="none"/>
        </w:rPr>
        <w:t>等。</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2、项目阶段性目标</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通过20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年南昌市知识产权专项资金的有效安排与合理使用，进一步调动了企事业单位知识产权工作的积极性，提高了知识产权创造、应用、保护、管理和服务能力，推动了年度工作目标和重点工作任务的实现和完成。</w:t>
      </w:r>
      <w:r>
        <w:rPr>
          <w:rFonts w:hint="eastAsia" w:ascii="仿宋_GB2312" w:hAnsi="仿宋_GB2312" w:eastAsia="仿宋_GB2312" w:cs="仿宋_GB2312"/>
          <w:sz w:val="32"/>
          <w:szCs w:val="32"/>
          <w:highlight w:val="none"/>
        </w:rPr>
        <w:t>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年，全面完成了</w:t>
      </w:r>
      <w:r>
        <w:rPr>
          <w:rFonts w:hint="eastAsia" w:ascii="仿宋" w:hAnsi="仿宋" w:eastAsia="仿宋" w:cs="仿宋"/>
          <w:sz w:val="32"/>
          <w:szCs w:val="32"/>
          <w:highlight w:val="none"/>
          <w:lang w:val="en-US" w:eastAsia="zh-CN"/>
        </w:rPr>
        <w:t>当</w:t>
      </w:r>
      <w:r>
        <w:rPr>
          <w:rFonts w:hint="eastAsia" w:ascii="仿宋" w:hAnsi="仿宋" w:eastAsia="仿宋" w:cs="仿宋"/>
          <w:sz w:val="32"/>
          <w:szCs w:val="32"/>
          <w:highlight w:val="none"/>
        </w:rPr>
        <w:t>年的市级各类知识产权项目的申请受理、立项审批、经费下达与实施管理，实现了个单体项目对应阶段目标，保障了知识产权保护中心正式投入运行后的办公正常。</w:t>
      </w:r>
    </w:p>
    <w:p>
      <w:pPr>
        <w:spacing w:line="560" w:lineRule="exact"/>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二、绩效评价工作开展情况</w:t>
      </w:r>
    </w:p>
    <w:p>
      <w:pPr>
        <w:spacing w:line="560" w:lineRule="exact"/>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（一）绩效评价目的、对象和范围</w:t>
      </w:r>
    </w:p>
    <w:p>
      <w:pPr>
        <w:spacing w:line="56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为全面提升我市知识产权创造、应用、保护、管理和服务能力，重点资助知识产权创造和知识产权应用两方面项目，择优支持知识产权保护、知识产权管理和服务、知识产权文化等相关工作。</w:t>
      </w:r>
    </w:p>
    <w:p>
      <w:pPr>
        <w:spacing w:line="560" w:lineRule="exact"/>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（二）绩效评价原则、评价指标体系、评价方法和标准</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1、绩效评价原则</w:t>
      </w:r>
    </w:p>
    <w:p>
      <w:pPr>
        <w:keepNext w:val="0"/>
        <w:keepLines w:val="0"/>
        <w:widowControl/>
        <w:suppressLineNumbers w:val="0"/>
        <w:ind w:firstLine="640" w:firstLineChars="200"/>
        <w:jc w:val="left"/>
      </w:pPr>
      <w:r>
        <w:rPr>
          <w:rFonts w:hint="eastAsia" w:ascii="仿宋_GB2312" w:hAnsi="仿宋_GB2312" w:eastAsia="仿宋_GB2312" w:cs="仿宋_GB2312"/>
          <w:sz w:val="32"/>
          <w:szCs w:val="32"/>
          <w:highlight w:val="none"/>
        </w:rPr>
        <w:t>（1）</w:t>
      </w:r>
      <w:r>
        <w:rPr>
          <w:rFonts w:ascii="仿宋_GB2312" w:hAnsi="仿宋_GB2312" w:eastAsia="仿宋_GB2312" w:cs="仿宋_GB2312"/>
          <w:color w:val="000000"/>
          <w:kern w:val="0"/>
          <w:sz w:val="32"/>
          <w:szCs w:val="32"/>
          <w:lang w:val="en-US" w:eastAsia="zh-CN" w:bidi="ar"/>
        </w:rPr>
        <w:t>《中共南昌市委 南昌市人民政府关于全面实施预算绩效管理的实施意见》（洪发〔2019〕13 号）</w:t>
      </w:r>
    </w:p>
    <w:p>
      <w:pPr>
        <w:keepNext w:val="0"/>
        <w:keepLines w:val="0"/>
        <w:widowControl/>
        <w:suppressLineNumbers w:val="0"/>
        <w:ind w:firstLine="640" w:firstLineChars="200"/>
        <w:jc w:val="left"/>
      </w:pPr>
      <w:r>
        <w:rPr>
          <w:rFonts w:hint="eastAsia" w:ascii="仿宋_GB2312" w:hAnsi="仿宋_GB2312" w:eastAsia="仿宋_GB2312" w:cs="仿宋_GB2312"/>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《南昌市财政项目支出绩效评价管理办法》（洪财办〔2020〕44 号）</w:t>
      </w:r>
    </w:p>
    <w:p>
      <w:pPr>
        <w:spacing w:line="560" w:lineRule="exact"/>
        <w:ind w:firstLine="640" w:firstLineChars="200"/>
        <w:rPr>
          <w:rFonts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南昌市财政局关于开展 2021 年度预算</w:t>
      </w:r>
      <w:r>
        <w:rPr>
          <w:rFonts w:hint="default" w:ascii="仿宋" w:hAnsi="仿宋" w:eastAsia="仿宋" w:cs="仿宋"/>
          <w:sz w:val="32"/>
          <w:szCs w:val="32"/>
          <w:highlight w:val="none"/>
          <w:lang w:val="en-US" w:eastAsia="zh-CN"/>
        </w:rPr>
        <w:t>绩效管理有关工作的通知</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洪财办〔2021〕7 号</w:t>
      </w:r>
      <w:r>
        <w:rPr>
          <w:rFonts w:hint="eastAsia" w:ascii="仿宋" w:hAnsi="仿宋" w:eastAsia="仿宋" w:cs="仿宋"/>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 w:hAnsi="仿宋" w:eastAsia="仿宋" w:cs="仿宋"/>
          <w:color w:val="000000"/>
          <w:sz w:val="32"/>
          <w:szCs w:val="32"/>
          <w:highlight w:val="none"/>
        </w:rPr>
        <w:t>市财政局、市科技局《关于印发南昌市知识产权专项资金管理办法的通知》（洪财教[2016]11号）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 w:hAnsi="仿宋" w:eastAsia="仿宋" w:cs="仿宋"/>
          <w:color w:val="000000"/>
          <w:sz w:val="32"/>
          <w:szCs w:val="32"/>
          <w:highlight w:val="none"/>
        </w:rPr>
        <w:t>市科技局、市财政局《关于印发南昌市知识产权专项资金项目管理办法的通知》（洪科字[2016]1</w:t>
      </w:r>
      <w:r>
        <w:rPr>
          <w:rFonts w:ascii="仿宋" w:hAnsi="仿宋" w:eastAsia="仿宋" w:cs="仿宋"/>
          <w:color w:val="000000"/>
          <w:sz w:val="32"/>
          <w:szCs w:val="32"/>
          <w:highlight w:val="none"/>
        </w:rPr>
        <w:t>01</w:t>
      </w:r>
      <w:r>
        <w:rPr>
          <w:rFonts w:hint="eastAsia" w:ascii="仿宋" w:hAnsi="仿宋" w:eastAsia="仿宋" w:cs="仿宋"/>
          <w:color w:val="000000"/>
          <w:sz w:val="32"/>
          <w:szCs w:val="32"/>
          <w:highlight w:val="none"/>
        </w:rPr>
        <w:t>号）</w:t>
      </w:r>
    </w:p>
    <w:p>
      <w:pPr>
        <w:spacing w:line="560" w:lineRule="exact"/>
        <w:ind w:firstLine="640" w:firstLineChars="200"/>
        <w:rPr>
          <w:rFonts w:ascii="仿宋" w:hAnsi="仿宋" w:eastAsia="仿宋" w:cs="仿宋"/>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宋体" w:eastAsia="仿宋_GB2312" w:cs="宋体"/>
          <w:color w:val="000000"/>
          <w:kern w:val="0"/>
          <w:sz w:val="32"/>
          <w:szCs w:val="32"/>
          <w:highlight w:val="none"/>
        </w:rPr>
        <w:t>《南昌市人民政府办公厅关于印发中国（南昌）知识产权保护中心建设方案的通知》</w:t>
      </w:r>
      <w:r>
        <w:rPr>
          <w:rFonts w:hint="eastAsia" w:ascii="仿宋" w:hAnsi="仿宋" w:eastAsia="仿宋" w:cs="仿宋"/>
          <w:color w:val="000000"/>
          <w:sz w:val="32"/>
          <w:szCs w:val="32"/>
          <w:highlight w:val="none"/>
        </w:rPr>
        <w:t>（洪府厅发</w:t>
      </w:r>
      <w:r>
        <w:rPr>
          <w:rFonts w:hint="eastAsia" w:ascii="仿宋_GB2312" w:hAnsi="仿宋_GB2312" w:eastAsia="仿宋_GB2312" w:cs="仿宋_GB2312"/>
          <w:color w:val="000000"/>
          <w:kern w:val="0"/>
          <w:sz w:val="32"/>
          <w:szCs w:val="32"/>
          <w:highlight w:val="none"/>
        </w:rPr>
        <w:t>〔</w:t>
      </w:r>
      <w:r>
        <w:rPr>
          <w:rFonts w:hint="eastAsia" w:ascii="仿宋_GB2312" w:hAnsi="宋体" w:eastAsia="仿宋_GB2312" w:cs="宋体"/>
          <w:color w:val="000000"/>
          <w:kern w:val="0"/>
          <w:sz w:val="32"/>
          <w:szCs w:val="32"/>
          <w:highlight w:val="none"/>
        </w:rPr>
        <w:t>2018</w:t>
      </w:r>
      <w:r>
        <w:rPr>
          <w:rFonts w:hint="eastAsia" w:ascii="仿宋_GB2312" w:hAnsi="仿宋_GB2312" w:eastAsia="仿宋_GB2312" w:cs="仿宋_GB2312"/>
          <w:color w:val="000000"/>
          <w:kern w:val="0"/>
          <w:sz w:val="32"/>
          <w:szCs w:val="32"/>
          <w:highlight w:val="none"/>
        </w:rPr>
        <w:t>〕</w:t>
      </w:r>
      <w:r>
        <w:rPr>
          <w:rFonts w:hint="eastAsia" w:ascii="仿宋" w:hAnsi="仿宋" w:eastAsia="仿宋" w:cs="仿宋"/>
          <w:color w:val="000000"/>
          <w:sz w:val="32"/>
          <w:szCs w:val="32"/>
          <w:highlight w:val="none"/>
        </w:rPr>
        <w:t>8号）</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2、评价指标体系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根据财政部《预算效评价共性指标体系框架》等文件精神及项目的具体特点，设置科学合理可行的评价体系，包括</w:t>
      </w:r>
      <w:r>
        <w:rPr>
          <w:rFonts w:hint="eastAsia" w:ascii="仿宋_GB2312" w:hAnsi="仿宋_GB2312" w:eastAsia="仿宋_GB2312" w:cs="仿宋_GB2312"/>
          <w:sz w:val="32"/>
          <w:szCs w:val="32"/>
          <w:highlight w:val="none"/>
          <w:lang w:val="en-US" w:eastAsia="zh-CN"/>
        </w:rPr>
        <w:t>项目决策（15分）、项目过程（15分）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产出指标（</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0分）（数量指标、质量指标、时效指标、成本指标），效益指标（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0分）（经济、社会、可持续影响指标），项目满意度（10分）（服务对象满意度），具体详见（附件）。</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3、评价方法和标准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绩效工作评价方法为自行组织评价的方式，本项目主要采用公众问卷调查、询问查证、数据收集汇总、指标分析等方法。应用投入指标、过程指标、项目产出指标、项目效果指标等来对知识产权专项资金经费的使用进行评价。</w:t>
      </w:r>
    </w:p>
    <w:p>
      <w:pPr>
        <w:spacing w:line="560" w:lineRule="exact"/>
        <w:ind w:firstLine="643" w:firstLineChars="200"/>
        <w:rPr>
          <w:rFonts w:ascii="仿宋_GB2312" w:hAnsi="仿宋_GB2312" w:eastAsia="仿宋_GB2312" w:cs="仿宋_GB2312"/>
          <w:b/>
          <w:color w:val="FF0000"/>
          <w:sz w:val="32"/>
          <w:szCs w:val="32"/>
          <w:highlight w:val="none"/>
        </w:rPr>
      </w:pPr>
      <w:r>
        <w:rPr>
          <w:rFonts w:hint="eastAsia" w:ascii="仿宋_GB2312" w:hAnsi="仿宋_GB2312" w:eastAsia="仿宋_GB2312" w:cs="仿宋_GB2312"/>
          <w:b/>
          <w:sz w:val="32"/>
          <w:szCs w:val="32"/>
          <w:highlight w:val="none"/>
        </w:rPr>
        <w:t>（三）绩效评价工作过程</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1、工作准备阶段（3月31日前）</w:t>
      </w:r>
    </w:p>
    <w:p>
      <w:pPr>
        <w:keepNext w:val="0"/>
        <w:keepLines w:val="0"/>
        <w:widowControl/>
        <w:suppressLineNumbers w:val="0"/>
        <w:ind w:firstLine="640" w:firstLineChars="200"/>
        <w:jc w:val="left"/>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深入学习</w:t>
      </w:r>
      <w:r>
        <w:rPr>
          <w:rFonts w:hint="eastAsia" w:ascii="仿宋_GB2312" w:hAnsi="仿宋_GB2312" w:eastAsia="仿宋_GB2312" w:cs="仿宋_GB2312"/>
          <w:kern w:val="0"/>
          <w:sz w:val="32"/>
          <w:szCs w:val="32"/>
          <w:highlight w:val="none"/>
          <w:shd w:val="clear" w:color="auto" w:fill="FFFFFF"/>
          <w:lang w:val="en-US" w:eastAsia="zh-CN"/>
        </w:rPr>
        <w:t>《中共南昌市委 南昌市人民政府关于全面实施预算绩效管理的实施意见》（洪发〔2019〕13 号）、《南昌市财政项目支出绩效评价管理办法》（洪财办〔2020〕44 号）和</w:t>
      </w:r>
      <w:r>
        <w:rPr>
          <w:rFonts w:hint="eastAsia" w:ascii="仿宋_GB2312" w:hAnsi="仿宋_GB2312" w:eastAsia="仿宋_GB2312" w:cs="仿宋_GB2312"/>
          <w:kern w:val="0"/>
          <w:sz w:val="32"/>
          <w:szCs w:val="32"/>
          <w:highlight w:val="none"/>
          <w:shd w:val="clear" w:color="auto" w:fill="FFFFFF"/>
        </w:rPr>
        <w:t>《</w:t>
      </w:r>
      <w:r>
        <w:rPr>
          <w:rFonts w:hint="eastAsia" w:ascii="仿宋_GB2312" w:hAnsi="仿宋_GB2312" w:eastAsia="仿宋_GB2312" w:cs="仿宋_GB2312"/>
          <w:kern w:val="0"/>
          <w:sz w:val="32"/>
          <w:szCs w:val="32"/>
          <w:highlight w:val="none"/>
          <w:shd w:val="clear" w:color="auto" w:fill="FFFFFF"/>
          <w:lang w:val="en-US" w:eastAsia="zh-CN"/>
        </w:rPr>
        <w:t>南昌市财政局关于开展 2021 年度预算</w:t>
      </w:r>
      <w:r>
        <w:rPr>
          <w:rFonts w:hint="default" w:ascii="仿宋_GB2312" w:hAnsi="仿宋_GB2312" w:eastAsia="仿宋_GB2312" w:cs="仿宋_GB2312"/>
          <w:kern w:val="0"/>
          <w:sz w:val="32"/>
          <w:szCs w:val="32"/>
          <w:highlight w:val="none"/>
          <w:shd w:val="clear" w:color="auto" w:fill="FFFFFF"/>
          <w:lang w:val="en-US" w:eastAsia="zh-CN"/>
        </w:rPr>
        <w:t>绩效管理有关工作的通知</w:t>
      </w:r>
      <w:r>
        <w:rPr>
          <w:rFonts w:hint="eastAsia" w:ascii="仿宋_GB2312" w:hAnsi="仿宋_GB2312" w:eastAsia="仿宋_GB2312" w:cs="仿宋_GB2312"/>
          <w:kern w:val="0"/>
          <w:sz w:val="32"/>
          <w:szCs w:val="32"/>
          <w:highlight w:val="none"/>
          <w:shd w:val="clear" w:color="auto" w:fill="FFFFFF"/>
        </w:rPr>
        <w:t>》（</w:t>
      </w:r>
      <w:r>
        <w:rPr>
          <w:rFonts w:hint="eastAsia" w:ascii="仿宋_GB2312" w:hAnsi="仿宋_GB2312" w:eastAsia="仿宋_GB2312" w:cs="仿宋_GB2312"/>
          <w:kern w:val="0"/>
          <w:sz w:val="32"/>
          <w:szCs w:val="32"/>
          <w:highlight w:val="none"/>
          <w:shd w:val="clear" w:color="auto" w:fill="FFFFFF"/>
          <w:lang w:val="en-US" w:eastAsia="zh-CN"/>
        </w:rPr>
        <w:t>洪财办〔2021〕7 号</w:t>
      </w:r>
      <w:r>
        <w:rPr>
          <w:rFonts w:hint="eastAsia" w:ascii="仿宋_GB2312" w:hAnsi="仿宋_GB2312" w:eastAsia="仿宋_GB2312" w:cs="仿宋_GB2312"/>
          <w:kern w:val="0"/>
          <w:sz w:val="32"/>
          <w:szCs w:val="32"/>
          <w:highlight w:val="none"/>
          <w:shd w:val="clear" w:color="auto" w:fill="FFFFFF"/>
        </w:rPr>
        <w:t>）文件，认真研究南昌市知识产权专项资金经费绩效评价办法,制定了《20</w:t>
      </w:r>
      <w:r>
        <w:rPr>
          <w:rFonts w:hint="eastAsia" w:ascii="仿宋_GB2312" w:hAnsi="仿宋_GB2312" w:eastAsia="仿宋_GB2312" w:cs="仿宋_GB2312"/>
          <w:kern w:val="0"/>
          <w:sz w:val="32"/>
          <w:szCs w:val="32"/>
          <w:highlight w:val="none"/>
          <w:shd w:val="clear" w:color="auto" w:fill="FFFFFF"/>
          <w:lang w:val="en-US" w:eastAsia="zh-CN"/>
        </w:rPr>
        <w:t>20</w:t>
      </w:r>
      <w:r>
        <w:rPr>
          <w:rFonts w:hint="eastAsia" w:ascii="仿宋_GB2312" w:hAnsi="仿宋_GB2312" w:eastAsia="仿宋_GB2312" w:cs="仿宋_GB2312"/>
          <w:kern w:val="0"/>
          <w:sz w:val="32"/>
          <w:szCs w:val="32"/>
          <w:highlight w:val="none"/>
          <w:shd w:val="clear" w:color="auto" w:fill="FFFFFF"/>
        </w:rPr>
        <w:t>年度南昌市知识产权项目资金绩效评价工作实施方案》。结合专利保护的一般规律和我市市情，以及市财政局提出的绩效评价指标设计要求，制定了知识</w:t>
      </w:r>
      <w:r>
        <w:rPr>
          <w:rFonts w:hint="eastAsia" w:ascii="仿宋" w:hAnsi="仿宋" w:eastAsia="仿宋" w:cs="仿宋"/>
          <w:sz w:val="32"/>
          <w:szCs w:val="32"/>
          <w:highlight w:val="none"/>
        </w:rPr>
        <w:t>产权专项资金绩效各子项目评价指标体系。</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2、数据采集阶段（4月</w:t>
      </w: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0日前）</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rPr>
        <w:t>认真做好基础资料和相关数据的收集、整理工作，根据收集的数据资料，详细填报自评有关报表，并在4月</w:t>
      </w:r>
      <w:r>
        <w:rPr>
          <w:rFonts w:hint="eastAsia" w:ascii="仿宋_GB2312" w:hAnsi="仿宋_GB2312" w:eastAsia="仿宋_GB2312" w:cs="仿宋_GB2312"/>
          <w:kern w:val="0"/>
          <w:sz w:val="32"/>
          <w:szCs w:val="32"/>
          <w:highlight w:val="none"/>
          <w:shd w:val="clear" w:color="auto" w:fill="FFFFFF"/>
          <w:lang w:val="en-US" w:eastAsia="zh-CN"/>
        </w:rPr>
        <w:t>15</w:t>
      </w:r>
      <w:r>
        <w:rPr>
          <w:rFonts w:hint="eastAsia" w:ascii="仿宋_GB2312" w:hAnsi="仿宋_GB2312" w:eastAsia="仿宋_GB2312" w:cs="仿宋_GB2312"/>
          <w:kern w:val="0"/>
          <w:sz w:val="32"/>
          <w:szCs w:val="32"/>
          <w:highlight w:val="none"/>
          <w:shd w:val="clear" w:color="auto" w:fill="FFFFFF"/>
        </w:rPr>
        <w:t>日前完成数据填报、收集、汇总工作。</w:t>
      </w:r>
      <w:r>
        <w:rPr>
          <w:rFonts w:hint="eastAsia" w:ascii="仿宋" w:hAnsi="仿宋" w:eastAsia="仿宋" w:cs="仿宋"/>
          <w:sz w:val="32"/>
          <w:szCs w:val="32"/>
          <w:highlight w:val="none"/>
        </w:rPr>
        <w:t>对采集到的各分类绩效评价表进行仔细审核、归类、整理、统计。</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3、自评价阶段（</w:t>
      </w: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月</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0日前）</w:t>
      </w:r>
    </w:p>
    <w:p>
      <w:pPr>
        <w:spacing w:line="560" w:lineRule="exact"/>
        <w:ind w:firstLine="640" w:firstLineChars="200"/>
        <w:rPr>
          <w:rFonts w:ascii="仿宋_GB2312" w:hAnsi="宋体"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rPr>
        <w:t>根据有关数据及评价标准，进行数据分析，通过召开座谈会、询问查证、</w:t>
      </w:r>
      <w:r>
        <w:rPr>
          <w:rFonts w:hint="eastAsia" w:ascii="仿宋_GB2312" w:hAnsi="仿宋_GB2312" w:eastAsia="仿宋_GB2312" w:cs="仿宋_GB2312"/>
          <w:sz w:val="32"/>
          <w:szCs w:val="32"/>
          <w:highlight w:val="none"/>
        </w:rPr>
        <w:t>核实、</w:t>
      </w:r>
      <w:r>
        <w:rPr>
          <w:rFonts w:hint="eastAsia" w:ascii="仿宋_GB2312" w:hAnsi="仿宋_GB2312" w:eastAsia="仿宋_GB2312" w:cs="仿宋_GB2312"/>
          <w:kern w:val="0"/>
          <w:sz w:val="32"/>
          <w:szCs w:val="32"/>
          <w:highlight w:val="none"/>
          <w:shd w:val="clear" w:color="auto" w:fill="FFFFFF"/>
        </w:rPr>
        <w:t>问卷调查，对项目绩效进行自评价，撰写部门自评价报告，按照要求及时报送。主要包括以下材料：</w:t>
      </w:r>
    </w:p>
    <w:p>
      <w:pPr>
        <w:spacing w:line="560" w:lineRule="exact"/>
        <w:ind w:left="640"/>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（1）《20</w:t>
      </w:r>
      <w:r>
        <w:rPr>
          <w:rFonts w:hint="eastAsia" w:ascii="仿宋_GB2312" w:hAnsi="仿宋_GB2312" w:eastAsia="仿宋_GB2312" w:cs="仿宋_GB2312"/>
          <w:kern w:val="0"/>
          <w:sz w:val="32"/>
          <w:szCs w:val="32"/>
          <w:highlight w:val="none"/>
          <w:shd w:val="clear" w:color="auto" w:fill="FFFFFF"/>
          <w:lang w:val="en-US" w:eastAsia="zh-CN"/>
        </w:rPr>
        <w:t>20</w:t>
      </w:r>
      <w:r>
        <w:rPr>
          <w:rFonts w:hint="eastAsia" w:ascii="仿宋_GB2312" w:hAnsi="仿宋_GB2312" w:eastAsia="仿宋_GB2312" w:cs="仿宋_GB2312"/>
          <w:kern w:val="0"/>
          <w:sz w:val="32"/>
          <w:szCs w:val="32"/>
          <w:highlight w:val="none"/>
          <w:shd w:val="clear" w:color="auto" w:fill="FFFFFF"/>
        </w:rPr>
        <w:t>年度南昌市知识</w:t>
      </w:r>
      <w:r>
        <w:rPr>
          <w:rFonts w:hint="eastAsia" w:ascii="仿宋" w:hAnsi="仿宋" w:eastAsia="仿宋" w:cs="仿宋"/>
          <w:sz w:val="32"/>
          <w:szCs w:val="32"/>
          <w:highlight w:val="none"/>
        </w:rPr>
        <w:t>产权专项资金</w:t>
      </w:r>
      <w:r>
        <w:rPr>
          <w:rFonts w:hint="eastAsia" w:ascii="仿宋_GB2312" w:hAnsi="仿宋_GB2312" w:eastAsia="仿宋_GB2312" w:cs="仿宋_GB2312"/>
          <w:kern w:val="0"/>
          <w:sz w:val="32"/>
          <w:szCs w:val="32"/>
          <w:highlight w:val="none"/>
          <w:shd w:val="clear" w:color="auto" w:fill="FFFFFF"/>
        </w:rPr>
        <w:t>绩效评价工作实施方案》</w:t>
      </w:r>
    </w:p>
    <w:p>
      <w:pPr>
        <w:spacing w:line="560" w:lineRule="exact"/>
        <w:ind w:firstLine="640" w:firstLineChars="200"/>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（2）《20</w:t>
      </w:r>
      <w:r>
        <w:rPr>
          <w:rFonts w:hint="eastAsia" w:ascii="仿宋_GB2312" w:hAnsi="仿宋_GB2312" w:eastAsia="仿宋_GB2312" w:cs="仿宋_GB2312"/>
          <w:kern w:val="0"/>
          <w:sz w:val="32"/>
          <w:szCs w:val="32"/>
          <w:highlight w:val="none"/>
          <w:shd w:val="clear" w:color="auto" w:fill="FFFFFF"/>
          <w:lang w:val="en-US" w:eastAsia="zh-CN"/>
        </w:rPr>
        <w:t>20</w:t>
      </w:r>
      <w:r>
        <w:rPr>
          <w:rFonts w:hint="eastAsia" w:ascii="仿宋_GB2312" w:hAnsi="仿宋_GB2312" w:eastAsia="仿宋_GB2312" w:cs="仿宋_GB2312"/>
          <w:kern w:val="0"/>
          <w:sz w:val="32"/>
          <w:szCs w:val="32"/>
          <w:highlight w:val="none"/>
          <w:shd w:val="clear" w:color="auto" w:fill="FFFFFF"/>
        </w:rPr>
        <w:t>年度南昌市知识</w:t>
      </w:r>
      <w:r>
        <w:rPr>
          <w:rFonts w:hint="eastAsia" w:ascii="仿宋" w:hAnsi="仿宋" w:eastAsia="仿宋" w:cs="仿宋"/>
          <w:sz w:val="32"/>
          <w:szCs w:val="32"/>
          <w:highlight w:val="none"/>
        </w:rPr>
        <w:t>产权专项资金</w:t>
      </w:r>
      <w:r>
        <w:rPr>
          <w:rFonts w:hint="eastAsia" w:ascii="仿宋_GB2312" w:hAnsi="仿宋_GB2312" w:eastAsia="仿宋_GB2312" w:cs="仿宋_GB2312"/>
          <w:kern w:val="0"/>
          <w:sz w:val="32"/>
          <w:szCs w:val="32"/>
          <w:highlight w:val="none"/>
          <w:shd w:val="clear" w:color="auto" w:fill="FFFFFF"/>
        </w:rPr>
        <w:t>绩效评价报告》</w:t>
      </w:r>
    </w:p>
    <w:p>
      <w:pPr>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三、综合评价情况及结论</w:t>
      </w:r>
    </w:p>
    <w:p>
      <w:pPr>
        <w:widowControl/>
        <w:numPr>
          <w:ilvl w:val="0"/>
          <w:numId w:val="5"/>
        </w:numPr>
        <w:shd w:val="clear" w:color="auto" w:fill="FFFFFF"/>
        <w:autoSpaceDN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评分结果：</w:t>
      </w:r>
    </w:p>
    <w:p>
      <w:pPr>
        <w:widowControl/>
        <w:shd w:val="clear" w:color="auto" w:fill="FFFFFF"/>
        <w:autoSpaceDN w:val="0"/>
        <w:spacing w:line="560" w:lineRule="exact"/>
        <w:ind w:firstLine="640" w:firstLineChars="200"/>
        <w:rPr>
          <w:rFonts w:hint="eastAsia" w:ascii="仿宋" w:hAnsi="仿宋" w:eastAsia="仿宋" w:cs="Times New Roman"/>
          <w:kern w:val="0"/>
          <w:sz w:val="32"/>
          <w:szCs w:val="28"/>
          <w:highlight w:val="none"/>
          <w:shd w:val="clear" w:color="auto" w:fill="FFFFFF"/>
        </w:rPr>
      </w:pPr>
      <w:r>
        <w:rPr>
          <w:rFonts w:hint="eastAsia" w:ascii="仿宋" w:hAnsi="仿宋" w:eastAsia="仿宋"/>
          <w:kern w:val="0"/>
          <w:sz w:val="32"/>
          <w:szCs w:val="28"/>
          <w:highlight w:val="none"/>
          <w:shd w:val="clear" w:color="auto" w:fill="FFFFFF"/>
        </w:rPr>
        <w:t>根据《20</w:t>
      </w:r>
      <w:r>
        <w:rPr>
          <w:rFonts w:hint="eastAsia" w:ascii="仿宋" w:hAnsi="仿宋" w:eastAsia="仿宋"/>
          <w:kern w:val="0"/>
          <w:sz w:val="32"/>
          <w:szCs w:val="28"/>
          <w:highlight w:val="none"/>
          <w:shd w:val="clear" w:color="auto" w:fill="FFFFFF"/>
          <w:lang w:val="en-US" w:eastAsia="zh-CN"/>
        </w:rPr>
        <w:t>20</w:t>
      </w:r>
      <w:r>
        <w:rPr>
          <w:rFonts w:hint="eastAsia" w:ascii="仿宋" w:hAnsi="仿宋" w:eastAsia="仿宋"/>
          <w:kern w:val="0"/>
          <w:sz w:val="32"/>
          <w:szCs w:val="28"/>
          <w:highlight w:val="none"/>
          <w:shd w:val="clear" w:color="auto" w:fill="FFFFFF"/>
        </w:rPr>
        <w:t>年度市知识产权项目资金绩效评价工作实施方案》，此次项目评价通过了</w:t>
      </w:r>
      <w:r>
        <w:rPr>
          <w:rFonts w:hint="eastAsia" w:ascii="仿宋_GB2312" w:hAnsi="仿宋_GB2312" w:eastAsia="仿宋_GB2312" w:cs="仿宋_GB2312"/>
          <w:sz w:val="32"/>
          <w:szCs w:val="32"/>
          <w:highlight w:val="none"/>
          <w:lang w:val="en-US" w:eastAsia="zh-CN"/>
        </w:rPr>
        <w:t>项目决策、项目过程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产出指标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效益指标</w:t>
      </w:r>
      <w:r>
        <w:rPr>
          <w:rFonts w:hint="eastAsia" w:ascii="仿宋_GB2312" w:hAnsi="仿宋_GB2312" w:eastAsia="仿宋_GB2312" w:cs="仿宋_GB2312"/>
          <w:sz w:val="32"/>
          <w:szCs w:val="32"/>
          <w:highlight w:val="none"/>
          <w:lang w:eastAsia="zh-CN"/>
        </w:rPr>
        <w:t>、</w:t>
      </w:r>
      <w:r>
        <w:rPr>
          <w:rFonts w:hint="eastAsia" w:ascii="仿宋" w:hAnsi="仿宋" w:eastAsia="仿宋" w:cs="Times New Roman"/>
          <w:kern w:val="0"/>
          <w:sz w:val="32"/>
          <w:szCs w:val="28"/>
          <w:highlight w:val="none"/>
          <w:shd w:val="clear" w:color="auto" w:fill="FFFFFF"/>
        </w:rPr>
        <w:t>项目满意度</w:t>
      </w:r>
      <w:r>
        <w:rPr>
          <w:rFonts w:hint="eastAsia" w:ascii="仿宋" w:hAnsi="仿宋" w:eastAsia="仿宋" w:cs="Times New Roman"/>
          <w:kern w:val="0"/>
          <w:sz w:val="32"/>
          <w:szCs w:val="28"/>
          <w:highlight w:val="none"/>
          <w:shd w:val="clear" w:color="auto" w:fill="FFFFFF"/>
          <w:lang w:val="en-US" w:eastAsia="zh-CN"/>
        </w:rPr>
        <w:t>5</w:t>
      </w:r>
      <w:r>
        <w:rPr>
          <w:rFonts w:hint="eastAsia" w:ascii="仿宋" w:hAnsi="仿宋" w:eastAsia="仿宋" w:cs="Times New Roman"/>
          <w:kern w:val="0"/>
          <w:sz w:val="32"/>
          <w:szCs w:val="28"/>
          <w:highlight w:val="none"/>
          <w:shd w:val="clear" w:color="auto" w:fill="FFFFFF"/>
        </w:rPr>
        <w:t>项指标,对5个子项目的项目实施进行了自评：知识产权奖励项目9</w:t>
      </w:r>
      <w:r>
        <w:rPr>
          <w:rFonts w:hint="eastAsia" w:ascii="仿宋" w:hAnsi="仿宋" w:eastAsia="仿宋" w:cs="Times New Roman"/>
          <w:kern w:val="0"/>
          <w:sz w:val="32"/>
          <w:szCs w:val="28"/>
          <w:highlight w:val="none"/>
          <w:shd w:val="clear" w:color="auto" w:fill="FFFFFF"/>
          <w:lang w:val="en-US" w:eastAsia="zh-CN"/>
        </w:rPr>
        <w:t>8</w:t>
      </w:r>
      <w:r>
        <w:rPr>
          <w:rFonts w:hint="eastAsia" w:ascii="仿宋" w:hAnsi="仿宋" w:eastAsia="仿宋" w:cs="Times New Roman"/>
          <w:kern w:val="0"/>
          <w:sz w:val="32"/>
          <w:szCs w:val="28"/>
          <w:highlight w:val="none"/>
          <w:shd w:val="clear" w:color="auto" w:fill="FFFFFF"/>
        </w:rPr>
        <w:t>分，知识产权补助项目</w:t>
      </w:r>
      <w:r>
        <w:rPr>
          <w:rFonts w:hint="eastAsia" w:ascii="仿宋" w:hAnsi="仿宋" w:eastAsia="仿宋" w:cs="Times New Roman"/>
          <w:kern w:val="0"/>
          <w:sz w:val="32"/>
          <w:szCs w:val="28"/>
          <w:highlight w:val="none"/>
          <w:shd w:val="clear" w:color="auto" w:fill="FFFFFF"/>
          <w:lang w:val="en-US" w:eastAsia="zh-CN"/>
        </w:rPr>
        <w:t>90.19</w:t>
      </w:r>
      <w:r>
        <w:rPr>
          <w:rFonts w:hint="eastAsia" w:ascii="仿宋" w:hAnsi="仿宋" w:eastAsia="仿宋" w:cs="Times New Roman"/>
          <w:kern w:val="0"/>
          <w:sz w:val="32"/>
          <w:szCs w:val="28"/>
          <w:highlight w:val="none"/>
          <w:shd w:val="clear" w:color="auto" w:fill="FFFFFF"/>
        </w:rPr>
        <w:t>分，知识产权维权援助专项资金</w:t>
      </w:r>
      <w:r>
        <w:rPr>
          <w:rFonts w:hint="eastAsia" w:ascii="仿宋" w:hAnsi="仿宋" w:eastAsia="仿宋" w:cs="Times New Roman"/>
          <w:kern w:val="0"/>
          <w:sz w:val="32"/>
          <w:szCs w:val="28"/>
          <w:highlight w:val="none"/>
          <w:shd w:val="clear" w:color="auto" w:fill="FFFFFF"/>
          <w:lang w:val="en-US" w:eastAsia="zh-CN"/>
        </w:rPr>
        <w:t>80.4</w:t>
      </w:r>
      <w:r>
        <w:rPr>
          <w:rFonts w:hint="eastAsia" w:ascii="仿宋" w:hAnsi="仿宋" w:eastAsia="仿宋" w:cs="Times New Roman"/>
          <w:kern w:val="0"/>
          <w:sz w:val="32"/>
          <w:szCs w:val="28"/>
          <w:highlight w:val="none"/>
          <w:shd w:val="clear" w:color="auto" w:fill="FFFFFF"/>
        </w:rPr>
        <w:t>分、知识产权保护中心运行经费项目</w:t>
      </w:r>
      <w:r>
        <w:rPr>
          <w:rFonts w:hint="eastAsia" w:ascii="仿宋" w:hAnsi="仿宋" w:eastAsia="仿宋" w:cs="Times New Roman"/>
          <w:kern w:val="0"/>
          <w:sz w:val="32"/>
          <w:szCs w:val="28"/>
          <w:highlight w:val="none"/>
          <w:shd w:val="clear" w:color="auto" w:fill="FFFFFF"/>
          <w:lang w:val="en-US" w:eastAsia="zh-CN"/>
        </w:rPr>
        <w:t>89.44</w:t>
      </w:r>
      <w:r>
        <w:rPr>
          <w:rFonts w:hint="eastAsia" w:ascii="仿宋" w:hAnsi="仿宋" w:eastAsia="仿宋" w:cs="Times New Roman"/>
          <w:kern w:val="0"/>
          <w:sz w:val="32"/>
          <w:szCs w:val="28"/>
          <w:highlight w:val="none"/>
          <w:shd w:val="clear" w:color="auto" w:fill="FFFFFF"/>
        </w:rPr>
        <w:t>分、知识产权管理费项目</w:t>
      </w:r>
      <w:r>
        <w:rPr>
          <w:rFonts w:hint="eastAsia" w:ascii="仿宋" w:hAnsi="仿宋" w:eastAsia="仿宋" w:cs="Times New Roman"/>
          <w:kern w:val="0"/>
          <w:sz w:val="32"/>
          <w:szCs w:val="28"/>
          <w:highlight w:val="none"/>
          <w:shd w:val="clear" w:color="auto" w:fill="FFFFFF"/>
          <w:lang w:val="en-US" w:eastAsia="zh-CN"/>
        </w:rPr>
        <w:t>81.02</w:t>
      </w:r>
      <w:r>
        <w:rPr>
          <w:rFonts w:hint="eastAsia" w:ascii="仿宋" w:hAnsi="仿宋" w:eastAsia="仿宋" w:cs="Times New Roman"/>
          <w:kern w:val="0"/>
          <w:sz w:val="32"/>
          <w:szCs w:val="28"/>
          <w:highlight w:val="none"/>
          <w:shd w:val="clear" w:color="auto" w:fill="FFFFFF"/>
        </w:rPr>
        <w:t>分。权重比例为：1、知识产权奖励项目绩效评价占知识产权专项资金绩效评价总分权重的</w:t>
      </w:r>
      <w:r>
        <w:rPr>
          <w:rFonts w:hint="eastAsia" w:ascii="仿宋" w:hAnsi="仿宋" w:eastAsia="仿宋" w:cs="Times New Roman"/>
          <w:kern w:val="0"/>
          <w:sz w:val="32"/>
          <w:szCs w:val="28"/>
          <w:highlight w:val="none"/>
          <w:shd w:val="clear" w:color="auto" w:fill="FFFFFF"/>
          <w:lang w:val="en-US" w:eastAsia="zh-CN"/>
        </w:rPr>
        <w:t>47.85</w:t>
      </w:r>
      <w:r>
        <w:rPr>
          <w:rFonts w:hint="eastAsia" w:ascii="仿宋" w:hAnsi="仿宋" w:eastAsia="仿宋" w:cs="Times New Roman"/>
          <w:kern w:val="0"/>
          <w:sz w:val="32"/>
          <w:szCs w:val="28"/>
          <w:highlight w:val="none"/>
          <w:shd w:val="clear" w:color="auto" w:fill="FFFFFF"/>
        </w:rPr>
        <w:t>%；2、知识产权补助项目绩效评价占知识产权专项资金绩效评价总分权重的</w:t>
      </w:r>
      <w:r>
        <w:rPr>
          <w:rFonts w:hint="eastAsia" w:ascii="仿宋" w:hAnsi="仿宋" w:eastAsia="仿宋" w:cs="Times New Roman"/>
          <w:kern w:val="0"/>
          <w:sz w:val="32"/>
          <w:szCs w:val="28"/>
          <w:highlight w:val="none"/>
          <w:shd w:val="clear" w:color="auto" w:fill="FFFFFF"/>
          <w:lang w:val="en-US" w:eastAsia="zh-CN"/>
        </w:rPr>
        <w:t>29.15</w:t>
      </w:r>
      <w:r>
        <w:rPr>
          <w:rFonts w:hint="eastAsia" w:ascii="仿宋" w:hAnsi="仿宋" w:eastAsia="仿宋" w:cs="Times New Roman"/>
          <w:kern w:val="0"/>
          <w:sz w:val="32"/>
          <w:szCs w:val="28"/>
          <w:highlight w:val="none"/>
          <w:shd w:val="clear" w:color="auto" w:fill="FFFFFF"/>
        </w:rPr>
        <w:t>%；</w:t>
      </w:r>
      <w:r>
        <w:rPr>
          <w:rFonts w:hint="eastAsia" w:ascii="仿宋" w:hAnsi="仿宋" w:eastAsia="仿宋" w:cs="Times New Roman"/>
          <w:kern w:val="0"/>
          <w:sz w:val="32"/>
          <w:szCs w:val="28"/>
          <w:highlight w:val="none"/>
          <w:shd w:val="clear" w:color="auto" w:fill="FFFFFF"/>
          <w:lang w:val="en-US" w:eastAsia="zh-CN"/>
        </w:rPr>
        <w:t>3</w:t>
      </w:r>
      <w:r>
        <w:rPr>
          <w:rFonts w:hint="eastAsia" w:ascii="仿宋" w:hAnsi="仿宋" w:eastAsia="仿宋" w:cs="Times New Roman"/>
          <w:kern w:val="0"/>
          <w:sz w:val="32"/>
          <w:szCs w:val="28"/>
          <w:highlight w:val="none"/>
          <w:shd w:val="clear" w:color="auto" w:fill="FFFFFF"/>
        </w:rPr>
        <w:t>、知识产权维权援助专项资金绩效评价占知识产权专项资金绩效评价总分权重的</w:t>
      </w:r>
      <w:r>
        <w:rPr>
          <w:rFonts w:hint="eastAsia" w:ascii="仿宋" w:hAnsi="仿宋" w:eastAsia="仿宋" w:cs="Times New Roman"/>
          <w:kern w:val="0"/>
          <w:sz w:val="32"/>
          <w:szCs w:val="28"/>
          <w:highlight w:val="none"/>
          <w:shd w:val="clear" w:color="auto" w:fill="FFFFFF"/>
          <w:lang w:val="en-US" w:eastAsia="zh-CN"/>
        </w:rPr>
        <w:t>2.16</w:t>
      </w:r>
      <w:r>
        <w:rPr>
          <w:rFonts w:hint="eastAsia" w:ascii="仿宋" w:hAnsi="仿宋" w:eastAsia="仿宋" w:cs="Times New Roman"/>
          <w:kern w:val="0"/>
          <w:sz w:val="32"/>
          <w:szCs w:val="28"/>
          <w:highlight w:val="none"/>
          <w:shd w:val="clear" w:color="auto" w:fill="FFFFFF"/>
        </w:rPr>
        <w:t>%；</w:t>
      </w:r>
      <w:r>
        <w:rPr>
          <w:rFonts w:hint="eastAsia" w:ascii="仿宋" w:hAnsi="仿宋" w:eastAsia="仿宋" w:cs="Times New Roman"/>
          <w:kern w:val="0"/>
          <w:sz w:val="32"/>
          <w:szCs w:val="28"/>
          <w:highlight w:val="none"/>
          <w:shd w:val="clear" w:color="auto" w:fill="FFFFFF"/>
          <w:lang w:val="en-US" w:eastAsia="zh-CN"/>
        </w:rPr>
        <w:t>4</w:t>
      </w:r>
      <w:r>
        <w:rPr>
          <w:rFonts w:hint="eastAsia" w:ascii="仿宋" w:hAnsi="仿宋" w:eastAsia="仿宋" w:cs="Times New Roman"/>
          <w:kern w:val="0"/>
          <w:sz w:val="32"/>
          <w:szCs w:val="28"/>
          <w:highlight w:val="none"/>
          <w:shd w:val="clear" w:color="auto" w:fill="FFFFFF"/>
        </w:rPr>
        <w:t>、知识产权保护中心运行经费项目占知识产权专项资金绩效评价总分权重的1</w:t>
      </w:r>
      <w:r>
        <w:rPr>
          <w:rFonts w:hint="eastAsia" w:ascii="仿宋" w:hAnsi="仿宋" w:eastAsia="仿宋" w:cs="Times New Roman"/>
          <w:kern w:val="0"/>
          <w:sz w:val="32"/>
          <w:szCs w:val="28"/>
          <w:highlight w:val="none"/>
          <w:shd w:val="clear" w:color="auto" w:fill="FFFFFF"/>
          <w:lang w:val="en-US" w:eastAsia="zh-CN"/>
        </w:rPr>
        <w:t>7</w:t>
      </w:r>
      <w:r>
        <w:rPr>
          <w:rFonts w:hint="eastAsia" w:ascii="仿宋" w:hAnsi="仿宋" w:eastAsia="仿宋" w:cs="Times New Roman"/>
          <w:kern w:val="0"/>
          <w:sz w:val="32"/>
          <w:szCs w:val="28"/>
          <w:highlight w:val="none"/>
          <w:shd w:val="clear" w:color="auto" w:fill="FFFFFF"/>
        </w:rPr>
        <w:t>.93%；</w:t>
      </w:r>
      <w:r>
        <w:rPr>
          <w:rFonts w:hint="eastAsia" w:ascii="仿宋" w:hAnsi="仿宋" w:eastAsia="仿宋" w:cs="Times New Roman"/>
          <w:kern w:val="0"/>
          <w:sz w:val="32"/>
          <w:szCs w:val="28"/>
          <w:highlight w:val="none"/>
          <w:shd w:val="clear" w:color="auto" w:fill="FFFFFF"/>
          <w:lang w:val="en-US" w:eastAsia="zh-CN"/>
        </w:rPr>
        <w:t>5</w:t>
      </w:r>
      <w:r>
        <w:rPr>
          <w:rFonts w:hint="eastAsia" w:ascii="仿宋" w:hAnsi="仿宋" w:eastAsia="仿宋" w:cs="Times New Roman"/>
          <w:kern w:val="0"/>
          <w:sz w:val="32"/>
          <w:szCs w:val="28"/>
          <w:highlight w:val="none"/>
          <w:shd w:val="clear" w:color="auto" w:fill="FFFFFF"/>
        </w:rPr>
        <w:t>、知识产权管理费占知识产权专项资金绩效评价总分权重的</w:t>
      </w:r>
      <w:r>
        <w:rPr>
          <w:rFonts w:hint="eastAsia" w:ascii="仿宋" w:hAnsi="仿宋" w:eastAsia="仿宋" w:cs="Times New Roman"/>
          <w:kern w:val="0"/>
          <w:sz w:val="32"/>
          <w:szCs w:val="28"/>
          <w:highlight w:val="none"/>
          <w:shd w:val="clear" w:color="auto" w:fill="FFFFFF"/>
          <w:lang w:val="en-US" w:eastAsia="zh-CN"/>
        </w:rPr>
        <w:t>2.91</w:t>
      </w:r>
      <w:r>
        <w:rPr>
          <w:rFonts w:hint="eastAsia" w:ascii="仿宋" w:hAnsi="仿宋" w:eastAsia="仿宋" w:cs="Times New Roman"/>
          <w:kern w:val="0"/>
          <w:sz w:val="32"/>
          <w:szCs w:val="28"/>
          <w:highlight w:val="none"/>
          <w:shd w:val="clear" w:color="auto" w:fill="FFFFFF"/>
        </w:rPr>
        <w:t>%；（具体评分见附件）</w:t>
      </w:r>
    </w:p>
    <w:p>
      <w:pPr>
        <w:widowControl/>
        <w:shd w:val="clear" w:color="auto" w:fill="FFFFFF"/>
        <w:autoSpaceDN w:val="0"/>
        <w:spacing w:line="560" w:lineRule="exact"/>
        <w:ind w:firstLine="640" w:firstLineChars="200"/>
        <w:rPr>
          <w:rFonts w:hint="eastAsia" w:ascii="仿宋" w:hAnsi="仿宋" w:eastAsia="仿宋" w:cs="Times New Roman"/>
          <w:kern w:val="0"/>
          <w:sz w:val="32"/>
          <w:szCs w:val="28"/>
          <w:highlight w:val="none"/>
          <w:shd w:val="clear" w:color="auto" w:fill="FFFFFF"/>
        </w:rPr>
      </w:pPr>
      <w:r>
        <w:rPr>
          <w:rFonts w:hint="eastAsia" w:ascii="仿宋" w:hAnsi="仿宋" w:eastAsia="仿宋" w:cs="Times New Roman"/>
          <w:kern w:val="0"/>
          <w:sz w:val="32"/>
          <w:szCs w:val="28"/>
          <w:highlight w:val="none"/>
          <w:shd w:val="clear" w:color="auto" w:fill="FFFFFF"/>
        </w:rPr>
        <w:t>综合权重部门自评得分为</w:t>
      </w:r>
      <w:r>
        <w:rPr>
          <w:rFonts w:hint="eastAsia" w:ascii="仿宋" w:hAnsi="仿宋" w:eastAsia="仿宋" w:cs="Times New Roman"/>
          <w:kern w:val="0"/>
          <w:sz w:val="32"/>
          <w:szCs w:val="28"/>
          <w:highlight w:val="none"/>
          <w:shd w:val="clear" w:color="auto" w:fill="FFFFFF"/>
          <w:lang w:val="en-US" w:eastAsia="zh-CN"/>
        </w:rPr>
        <w:t>93.31</w:t>
      </w:r>
      <w:r>
        <w:rPr>
          <w:rFonts w:hint="eastAsia" w:ascii="仿宋" w:hAnsi="仿宋" w:eastAsia="仿宋" w:cs="Times New Roman"/>
          <w:kern w:val="0"/>
          <w:sz w:val="32"/>
          <w:szCs w:val="28"/>
          <w:highlight w:val="none"/>
          <w:shd w:val="clear" w:color="auto" w:fill="FFFFFF"/>
        </w:rPr>
        <w:t>分，主管部门评价分为</w:t>
      </w:r>
      <w:r>
        <w:rPr>
          <w:rFonts w:hint="eastAsia" w:ascii="仿宋" w:hAnsi="仿宋" w:eastAsia="仿宋" w:cs="Times New Roman"/>
          <w:kern w:val="0"/>
          <w:sz w:val="32"/>
          <w:szCs w:val="28"/>
          <w:highlight w:val="none"/>
          <w:shd w:val="clear" w:color="auto" w:fill="FFFFFF"/>
          <w:lang w:val="en-US" w:eastAsia="zh-CN"/>
        </w:rPr>
        <w:t>93.31</w:t>
      </w:r>
      <w:r>
        <w:rPr>
          <w:rFonts w:hint="eastAsia" w:ascii="仿宋" w:hAnsi="仿宋" w:eastAsia="仿宋" w:cs="Times New Roman"/>
          <w:kern w:val="0"/>
          <w:sz w:val="32"/>
          <w:szCs w:val="28"/>
          <w:highlight w:val="none"/>
          <w:shd w:val="clear" w:color="auto" w:fill="FFFFFF"/>
        </w:rPr>
        <w:t>分。评价等级为优。</w:t>
      </w:r>
    </w:p>
    <w:p>
      <w:pPr>
        <w:tabs>
          <w:tab w:val="left" w:pos="567"/>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2.主要结论：</w:t>
      </w:r>
    </w:p>
    <w:p>
      <w:pPr>
        <w:shd w:val="clear" w:color="auto" w:fill="FFFFFF"/>
        <w:spacing w:line="56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color w:val="000000"/>
          <w:sz w:val="32"/>
          <w:szCs w:val="32"/>
          <w:highlight w:val="none"/>
        </w:rPr>
        <w:t>该项目立项符合规范，资金落实得到保障；建立了业务管理制度、财务管理制度，内</w:t>
      </w:r>
      <w:r>
        <w:rPr>
          <w:rFonts w:hint="eastAsia" w:ascii="仿宋" w:hAnsi="仿宋" w:eastAsia="仿宋" w:cs="仿宋"/>
          <w:bCs/>
          <w:sz w:val="32"/>
          <w:szCs w:val="32"/>
          <w:highlight w:val="none"/>
        </w:rPr>
        <w:t>部控制制度健全且得到了有效的执行，以上制度的运行得到了有效的监督。</w:t>
      </w:r>
      <w:r>
        <w:rPr>
          <w:rFonts w:hint="eastAsia" w:ascii="仿宋" w:hAnsi="仿宋" w:eastAsia="仿宋" w:cs="仿宋"/>
          <w:sz w:val="32"/>
          <w:szCs w:val="32"/>
          <w:highlight w:val="none"/>
        </w:rPr>
        <w:t>在市财政局绩效办的指导监督下，我局不断加强和规范知识产权专项资金的使用管理，坚持公开、公平、公正和专款专用的原则，提高了资金使用效益。</w:t>
      </w:r>
      <w:r>
        <w:rPr>
          <w:rFonts w:hint="eastAsia" w:ascii="仿宋" w:hAnsi="仿宋" w:eastAsia="仿宋" w:cs="仿宋"/>
          <w:bCs/>
          <w:sz w:val="32"/>
          <w:szCs w:val="32"/>
          <w:highlight w:val="none"/>
        </w:rPr>
        <w:t>一年来，我局会同市财政局严格按照《南昌市知识产权专项资金管理办法》及有关文件要求，在市政府的正确领导下，通过积极组织项目申报、认真组织项目立项审批、及时下达项目经费，勤抓项目实施管理，顺利完成了20</w:t>
      </w:r>
      <w:r>
        <w:rPr>
          <w:rFonts w:hint="eastAsia" w:ascii="仿宋" w:hAnsi="仿宋" w:eastAsia="仿宋" w:cs="仿宋"/>
          <w:bCs/>
          <w:sz w:val="32"/>
          <w:szCs w:val="32"/>
          <w:highlight w:val="none"/>
          <w:lang w:val="en-US" w:eastAsia="zh-CN"/>
        </w:rPr>
        <w:t>20</w:t>
      </w:r>
      <w:r>
        <w:rPr>
          <w:rFonts w:hint="eastAsia" w:ascii="仿宋" w:hAnsi="仿宋" w:eastAsia="仿宋" w:cs="仿宋"/>
          <w:bCs/>
          <w:sz w:val="32"/>
          <w:szCs w:val="32"/>
          <w:highlight w:val="none"/>
        </w:rPr>
        <w:t>年度市</w:t>
      </w:r>
      <w:r>
        <w:rPr>
          <w:rFonts w:hint="eastAsia" w:ascii="仿宋" w:hAnsi="仿宋" w:eastAsia="仿宋" w:cs="仿宋"/>
          <w:bCs/>
          <w:color w:val="auto"/>
          <w:sz w:val="32"/>
          <w:szCs w:val="32"/>
          <w:highlight w:val="none"/>
        </w:rPr>
        <w:t>知识</w:t>
      </w:r>
      <w:r>
        <w:rPr>
          <w:rFonts w:hint="eastAsia" w:ascii="仿宋_GB2312" w:hAnsi="仿宋_GB2312" w:eastAsia="仿宋_GB2312" w:cs="仿宋_GB2312"/>
          <w:color w:val="auto"/>
          <w:sz w:val="32"/>
          <w:szCs w:val="32"/>
          <w:highlight w:val="none"/>
        </w:rPr>
        <w:t>产权</w:t>
      </w:r>
      <w:r>
        <w:rPr>
          <w:rFonts w:hint="eastAsia" w:ascii="仿宋" w:hAnsi="仿宋" w:eastAsia="仿宋" w:cs="仿宋"/>
          <w:bCs/>
          <w:color w:val="auto"/>
          <w:sz w:val="32"/>
          <w:szCs w:val="32"/>
          <w:highlight w:val="none"/>
        </w:rPr>
        <w:t>专项</w:t>
      </w:r>
      <w:r>
        <w:rPr>
          <w:rFonts w:hint="eastAsia" w:ascii="仿宋" w:hAnsi="仿宋" w:eastAsia="仿宋" w:cs="仿宋"/>
          <w:bCs/>
          <w:sz w:val="32"/>
          <w:szCs w:val="32"/>
          <w:highlight w:val="none"/>
        </w:rPr>
        <w:t>资金的预算安排、资金使用及后续管理，服务对象及群众满意度较高。项目资金投入和专项资金使用的进度基本上与计划进度保持同步。</w:t>
      </w:r>
    </w:p>
    <w:p>
      <w:pPr>
        <w:spacing w:line="560" w:lineRule="exact"/>
        <w:ind w:firstLine="640" w:firstLineChars="200"/>
        <w:rPr>
          <w:rFonts w:ascii="黑体" w:hAnsi="仿宋_GB2312" w:eastAsia="黑体" w:cs="仿宋_GB2312"/>
          <w:bCs/>
          <w:sz w:val="32"/>
          <w:szCs w:val="32"/>
          <w:highlight w:val="none"/>
        </w:rPr>
      </w:pPr>
      <w:r>
        <w:rPr>
          <w:rFonts w:hint="eastAsia" w:ascii="黑体" w:hAnsi="仿宋_GB2312" w:eastAsia="黑体" w:cs="仿宋_GB2312"/>
          <w:bCs/>
          <w:sz w:val="32"/>
          <w:szCs w:val="32"/>
          <w:highlight w:val="none"/>
        </w:rPr>
        <w:t>四、绩效评价指标分析情况</w:t>
      </w:r>
    </w:p>
    <w:p>
      <w:pPr>
        <w:numPr>
          <w:ilvl w:val="0"/>
          <w:numId w:val="6"/>
        </w:numPr>
        <w:spacing w:line="560" w:lineRule="exact"/>
        <w:ind w:firstLine="643" w:firstLineChars="200"/>
        <w:rPr>
          <w:rFonts w:hint="eastAsia" w:ascii="楷体_GB2312" w:hAnsi="仿宋_GB2312" w:eastAsia="楷体_GB2312" w:cs="仿宋_GB2312"/>
          <w:b/>
          <w:color w:val="auto"/>
          <w:sz w:val="32"/>
          <w:szCs w:val="32"/>
          <w:highlight w:val="none"/>
        </w:rPr>
      </w:pPr>
      <w:r>
        <w:rPr>
          <w:rFonts w:hint="eastAsia" w:ascii="楷体_GB2312" w:hAnsi="仿宋_GB2312" w:eastAsia="楷体_GB2312" w:cs="仿宋_GB2312"/>
          <w:b/>
          <w:color w:val="auto"/>
          <w:sz w:val="32"/>
          <w:szCs w:val="32"/>
          <w:highlight w:val="none"/>
          <w:lang w:val="en-US" w:eastAsia="zh-CN"/>
        </w:rPr>
        <w:t>项目资金情况（15分）</w:t>
      </w:r>
    </w:p>
    <w:p>
      <w:pPr>
        <w:numPr>
          <w:ilvl w:val="0"/>
          <w:numId w:val="0"/>
        </w:numPr>
        <w:spacing w:line="560" w:lineRule="exact"/>
        <w:ind w:firstLine="643" w:firstLineChars="200"/>
        <w:rPr>
          <w:rFonts w:hint="default" w:ascii="楷体_GB2312" w:hAnsi="仿宋_GB2312" w:eastAsia="楷体_GB2312" w:cs="仿宋_GB2312"/>
          <w:b/>
          <w:color w:val="auto"/>
          <w:sz w:val="32"/>
          <w:szCs w:val="32"/>
          <w:highlight w:val="none"/>
          <w:lang w:val="en-US" w:eastAsia="zh-CN"/>
        </w:rPr>
      </w:pPr>
      <w:r>
        <w:rPr>
          <w:rFonts w:hint="eastAsia" w:ascii="楷体_GB2312" w:hAnsi="仿宋_GB2312" w:eastAsia="楷体_GB2312" w:cs="仿宋_GB2312"/>
          <w:b/>
          <w:color w:val="auto"/>
          <w:sz w:val="32"/>
          <w:szCs w:val="32"/>
          <w:highlight w:val="none"/>
          <w:lang w:eastAsia="zh-CN"/>
        </w:rPr>
        <w:t>（</w:t>
      </w:r>
      <w:r>
        <w:rPr>
          <w:rFonts w:hint="eastAsia" w:ascii="楷体_GB2312" w:hAnsi="仿宋_GB2312" w:eastAsia="楷体_GB2312" w:cs="仿宋_GB2312"/>
          <w:b/>
          <w:color w:val="auto"/>
          <w:sz w:val="32"/>
          <w:szCs w:val="32"/>
          <w:highlight w:val="none"/>
          <w:lang w:val="en-US" w:eastAsia="zh-CN"/>
        </w:rPr>
        <w:t>1）</w:t>
      </w:r>
      <w:r>
        <w:rPr>
          <w:rFonts w:hint="eastAsia" w:ascii="楷体_GB2312" w:hAnsi="仿宋_GB2312" w:eastAsia="楷体_GB2312" w:cs="仿宋_GB2312"/>
          <w:b/>
          <w:color w:val="auto"/>
          <w:sz w:val="32"/>
          <w:szCs w:val="32"/>
          <w:highlight w:val="none"/>
        </w:rPr>
        <w:t>项目决策情况</w:t>
      </w:r>
    </w:p>
    <w:p>
      <w:pPr>
        <w:numPr>
          <w:ilvl w:val="0"/>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项目立项</w:t>
      </w:r>
      <w:r>
        <w:rPr>
          <w:rFonts w:hint="eastAsia" w:ascii="仿宋_GB2312" w:hAnsi="仿宋_GB2312" w:eastAsia="仿宋_GB2312" w:cs="仿宋_GB2312"/>
          <w:color w:val="auto"/>
          <w:sz w:val="32"/>
          <w:szCs w:val="32"/>
          <w:highlight w:val="none"/>
          <w:lang w:val="en-US" w:eastAsia="zh-CN"/>
        </w:rPr>
        <w:t>充分性、</w:t>
      </w:r>
      <w:r>
        <w:rPr>
          <w:rFonts w:hint="eastAsia" w:ascii="仿宋_GB2312" w:hAnsi="仿宋_GB2312" w:eastAsia="仿宋_GB2312" w:cs="仿宋_GB2312"/>
          <w:color w:val="auto"/>
          <w:sz w:val="32"/>
          <w:szCs w:val="32"/>
          <w:highlight w:val="none"/>
        </w:rPr>
        <w:t>规范性指标得分情况分析</w:t>
      </w:r>
    </w:p>
    <w:p>
      <w:p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项目立项依据充分、程序规范，依据</w:t>
      </w:r>
      <w:r>
        <w:rPr>
          <w:rFonts w:hint="eastAsia" w:ascii="仿宋" w:hAnsi="仿宋" w:eastAsia="仿宋" w:cs="仿宋"/>
          <w:color w:val="auto"/>
          <w:sz w:val="32"/>
          <w:szCs w:val="32"/>
          <w:highlight w:val="none"/>
        </w:rPr>
        <w:t>《南昌市知识产权专项资金管理办法》</w:t>
      </w:r>
      <w:r>
        <w:rPr>
          <w:rFonts w:hint="eastAsia" w:ascii="仿宋_GB2312" w:hAnsi="仿宋_GB2312" w:eastAsia="仿宋_GB2312" w:cs="仿宋_GB2312"/>
          <w:color w:val="auto"/>
          <w:sz w:val="32"/>
          <w:szCs w:val="32"/>
          <w:highlight w:val="none"/>
        </w:rPr>
        <w:t>立项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得2.5分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制定了20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年市知识产权专项资金使用计划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得2.5分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共得5分。</w:t>
      </w:r>
    </w:p>
    <w:p>
      <w:pPr>
        <w:pStyle w:val="2"/>
        <w:numPr>
          <w:ilvl w:val="0"/>
          <w:numId w:val="5"/>
        </w:numPr>
        <w:ind w:left="0" w:leftChars="0" w:firstLine="640" w:firstLineChars="200"/>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项目绩效目标合理性、明确性指标得分情况分析</w:t>
      </w:r>
    </w:p>
    <w:p>
      <w:p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绩效目标</w:t>
      </w:r>
      <w:r>
        <w:rPr>
          <w:rFonts w:hint="eastAsia" w:ascii="仿宋_GB2312" w:hAnsi="仿宋_GB2312" w:eastAsia="仿宋_GB2312" w:cs="仿宋_GB2312"/>
          <w:color w:val="auto"/>
          <w:sz w:val="32"/>
          <w:szCs w:val="32"/>
          <w:highlight w:val="none"/>
        </w:rPr>
        <w:t>立项</w:t>
      </w:r>
      <w:r>
        <w:rPr>
          <w:rFonts w:hint="eastAsia" w:ascii="仿宋_GB2312" w:hAnsi="仿宋_GB2312" w:eastAsia="仿宋_GB2312" w:cs="仿宋_GB2312"/>
          <w:color w:val="auto"/>
          <w:sz w:val="32"/>
          <w:szCs w:val="32"/>
          <w:highlight w:val="none"/>
          <w:lang w:val="en-US" w:eastAsia="zh-CN"/>
        </w:rPr>
        <w:t>合理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明确</w:t>
      </w:r>
      <w:r>
        <w:rPr>
          <w:rFonts w:hint="eastAsia" w:ascii="仿宋_GB2312" w:hAnsi="仿宋_GB2312" w:eastAsia="仿宋_GB2312" w:cs="仿宋_GB2312"/>
          <w:color w:val="auto"/>
          <w:sz w:val="32"/>
          <w:szCs w:val="32"/>
          <w:highlight w:val="none"/>
        </w:rPr>
        <w:t>规范，依据</w:t>
      </w:r>
      <w:r>
        <w:rPr>
          <w:rFonts w:hint="eastAsia" w:ascii="仿宋" w:hAnsi="仿宋" w:eastAsia="仿宋" w:cs="仿宋"/>
          <w:color w:val="auto"/>
          <w:sz w:val="32"/>
          <w:szCs w:val="32"/>
          <w:highlight w:val="none"/>
        </w:rPr>
        <w:t>《南昌市知识产权专项资金管理办法》</w:t>
      </w:r>
      <w:r>
        <w:rPr>
          <w:rFonts w:hint="eastAsia" w:ascii="仿宋_GB2312" w:hAnsi="仿宋_GB2312" w:eastAsia="仿宋_GB2312" w:cs="仿宋_GB2312"/>
          <w:color w:val="auto"/>
          <w:sz w:val="32"/>
          <w:szCs w:val="32"/>
          <w:highlight w:val="none"/>
        </w:rPr>
        <w:t>立项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得2.5分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绩效指标的设置符合《南昌市财政项目支出绩效评价管理办法》《南昌市市场监督管理局预算绩效管理制度》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得2.5分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共得5分。</w:t>
      </w:r>
    </w:p>
    <w:p>
      <w:pPr>
        <w:pStyle w:val="2"/>
        <w:numPr>
          <w:ilvl w:val="0"/>
          <w:numId w:val="5"/>
        </w:numPr>
        <w:ind w:left="0" w:leftChars="0" w:firstLine="640" w:firstLineChars="200"/>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项目资金投入的科学合理性情况分析</w:t>
      </w:r>
    </w:p>
    <w:p>
      <w:pPr>
        <w:pStyle w:val="2"/>
        <w:numPr>
          <w:ilvl w:val="0"/>
          <w:numId w:val="0"/>
        </w:numPr>
        <w:ind w:firstLine="640" w:firstLineChars="200"/>
        <w:rPr>
          <w:rFonts w:hint="eastAsia" w:ascii="仿宋_GB2312" w:hAnsi="仿宋_GB2312" w:cs="仿宋_GB2312"/>
          <w:color w:val="auto"/>
          <w:sz w:val="32"/>
          <w:szCs w:val="32"/>
          <w:highlight w:val="none"/>
          <w:lang w:val="en-US" w:eastAsia="zh-CN"/>
        </w:rPr>
      </w:pPr>
      <w:r>
        <w:rPr>
          <w:rFonts w:hint="default" w:ascii="仿宋_GB2312" w:hAnsi="仿宋_GB2312" w:cs="仿宋_GB2312"/>
          <w:color w:val="auto"/>
          <w:sz w:val="32"/>
          <w:szCs w:val="32"/>
          <w:highlight w:val="none"/>
          <w:lang w:val="en-US" w:eastAsia="zh-CN"/>
        </w:rPr>
        <w:t>预算编制与工作任务相匹配</w:t>
      </w:r>
      <w:r>
        <w:rPr>
          <w:rFonts w:hint="eastAsia" w:ascii="仿宋_GB2312" w:hAnsi="仿宋_GB2312" w:cs="仿宋_GB2312"/>
          <w:color w:val="auto"/>
          <w:sz w:val="32"/>
          <w:szCs w:val="32"/>
          <w:highlight w:val="none"/>
          <w:lang w:val="en-US" w:eastAsia="zh-CN"/>
        </w:rPr>
        <w:t>得2.5分，实际得分1.89分。预算资金分配依据符合</w:t>
      </w:r>
      <w:r>
        <w:rPr>
          <w:rFonts w:hint="eastAsia" w:ascii="仿宋" w:hAnsi="仿宋" w:eastAsia="仿宋" w:cs="仿宋"/>
          <w:color w:val="auto"/>
          <w:sz w:val="32"/>
          <w:szCs w:val="32"/>
          <w:highlight w:val="none"/>
        </w:rPr>
        <w:t>《南昌市知识产权专项资金管理办法》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得1.5分，实际得分1.5分。符合</w:t>
      </w:r>
      <w:r>
        <w:rPr>
          <w:rFonts w:hint="eastAsia" w:ascii="仿宋_GB2312" w:hAnsi="仿宋_GB2312" w:cs="仿宋_GB2312"/>
          <w:color w:val="auto"/>
          <w:sz w:val="32"/>
          <w:szCs w:val="32"/>
          <w:highlight w:val="none"/>
          <w:lang w:val="en-US" w:eastAsia="zh-CN"/>
        </w:rPr>
        <w:t>实际得1分，实际得分0.39分。共得3.78分。</w:t>
      </w:r>
    </w:p>
    <w:p>
      <w:pPr>
        <w:shd w:val="clear" w:color="auto" w:fill="FFFFFF"/>
        <w:spacing w:line="560" w:lineRule="exact"/>
        <w:ind w:firstLine="640" w:firstLineChars="200"/>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0000FF"/>
          <w:sz w:val="32"/>
          <w:szCs w:val="32"/>
          <w:highlight w:val="none"/>
          <w:lang w:val="en-US" w:eastAsia="zh-CN"/>
        </w:rPr>
        <w:t>项目决策指标权重为15分，本次绩效评价实际得13.78分。</w:t>
      </w:r>
    </w:p>
    <w:p>
      <w:pPr>
        <w:spacing w:line="560" w:lineRule="exact"/>
        <w:ind w:firstLine="643" w:firstLineChars="200"/>
        <w:rPr>
          <w:rFonts w:hint="eastAsia" w:ascii="楷体_GB2312" w:hAnsi="仿宋_GB2312" w:eastAsia="楷体_GB2312" w:cs="仿宋_GB2312"/>
          <w:b/>
          <w:color w:val="auto"/>
          <w:sz w:val="32"/>
          <w:szCs w:val="32"/>
          <w:highlight w:val="none"/>
          <w:lang w:eastAsia="zh-CN"/>
        </w:rPr>
      </w:pPr>
      <w:r>
        <w:rPr>
          <w:rFonts w:hint="eastAsia" w:ascii="楷体_GB2312" w:hAnsi="仿宋_GB2312" w:eastAsia="楷体_GB2312" w:cs="仿宋_GB2312"/>
          <w:b/>
          <w:color w:val="auto"/>
          <w:sz w:val="32"/>
          <w:szCs w:val="32"/>
          <w:highlight w:val="none"/>
        </w:rPr>
        <w:t>（</w:t>
      </w:r>
      <w:r>
        <w:rPr>
          <w:rFonts w:hint="eastAsia" w:ascii="楷体_GB2312" w:hAnsi="仿宋_GB2312" w:eastAsia="楷体_GB2312" w:cs="仿宋_GB2312"/>
          <w:b/>
          <w:color w:val="auto"/>
          <w:sz w:val="32"/>
          <w:szCs w:val="32"/>
          <w:highlight w:val="none"/>
          <w:lang w:val="en-US" w:eastAsia="zh-CN"/>
        </w:rPr>
        <w:t>2</w:t>
      </w:r>
      <w:r>
        <w:rPr>
          <w:rFonts w:hint="eastAsia" w:ascii="楷体_GB2312" w:hAnsi="仿宋_GB2312" w:eastAsia="楷体_GB2312" w:cs="仿宋_GB2312"/>
          <w:b/>
          <w:color w:val="auto"/>
          <w:sz w:val="32"/>
          <w:szCs w:val="32"/>
          <w:highlight w:val="none"/>
        </w:rPr>
        <w:t>）项目过程</w:t>
      </w:r>
      <w:r>
        <w:rPr>
          <w:rFonts w:hint="eastAsia" w:ascii="楷体_GB2312" w:hAnsi="仿宋_GB2312" w:eastAsia="楷体_GB2312" w:cs="仿宋_GB2312"/>
          <w:b/>
          <w:color w:val="auto"/>
          <w:sz w:val="32"/>
          <w:szCs w:val="32"/>
          <w:highlight w:val="none"/>
          <w:lang w:val="en-US" w:eastAsia="zh-CN"/>
        </w:rPr>
        <w:t>情况</w:t>
      </w:r>
      <w:r>
        <w:rPr>
          <w:rFonts w:hint="eastAsia" w:ascii="楷体_GB2312" w:hAnsi="仿宋_GB2312" w:eastAsia="楷体_GB2312" w:cs="仿宋_GB2312"/>
          <w:b/>
          <w:color w:val="auto"/>
          <w:sz w:val="32"/>
          <w:szCs w:val="32"/>
          <w:highlight w:val="none"/>
          <w:lang w:eastAsia="zh-CN"/>
        </w:rPr>
        <w:t>（</w:t>
      </w:r>
      <w:r>
        <w:rPr>
          <w:rFonts w:hint="eastAsia" w:ascii="楷体_GB2312" w:hAnsi="仿宋_GB2312" w:eastAsia="楷体_GB2312" w:cs="仿宋_GB2312"/>
          <w:b/>
          <w:color w:val="auto"/>
          <w:sz w:val="32"/>
          <w:szCs w:val="32"/>
          <w:highlight w:val="none"/>
          <w:lang w:val="en-US" w:eastAsia="zh-CN"/>
        </w:rPr>
        <w:t>15分）</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资金</w:t>
      </w:r>
      <w:r>
        <w:rPr>
          <w:rFonts w:hint="eastAsia" w:ascii="仿宋_GB2312" w:hAnsi="仿宋_GB2312" w:eastAsia="仿宋_GB2312" w:cs="仿宋_GB2312"/>
          <w:color w:val="auto"/>
          <w:sz w:val="32"/>
          <w:szCs w:val="32"/>
          <w:highlight w:val="none"/>
        </w:rPr>
        <w:t>管理指标得分情况分析</w:t>
      </w:r>
    </w:p>
    <w:p>
      <w:p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a.2020年度知识产权专项资金实际到位1471.9961万元（其中上年结余15.27万元，本年度下拨1456.726万元）。</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资金到位率=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实际到位资金/预算资金）*100%=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1471.9961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1715.27</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val="en-US" w:eastAsia="zh-CN"/>
        </w:rPr>
        <w:t>=85.82%</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项目分值3分，得分2.57分。</w:t>
      </w:r>
    </w:p>
    <w:p>
      <w:pPr>
        <w:pStyle w:val="2"/>
        <w:ind w:firstLine="640" w:firstLineChars="200"/>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b.2020年度知识产权专项资金实际支出1331.136万元</w:t>
      </w:r>
    </w:p>
    <w:p>
      <w:pPr>
        <w:pStyle w:val="2"/>
        <w:ind w:firstLine="640" w:firstLineChars="200"/>
        <w:rPr>
          <w:rFonts w:hint="eastAsia" w:ascii="仿宋_GB2312" w:hAnsi="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预算资金执行率=</w:t>
      </w: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实际支出资金/实际到位资金）*100%=</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331.1361</w:t>
      </w:r>
      <w:r>
        <w:rPr>
          <w:rFonts w:hint="eastAsia" w:ascii="仿宋_GB2312" w:hAnsi="仿宋_GB2312" w:eastAsia="仿宋_GB2312" w:cs="仿宋_GB2312"/>
          <w:color w:val="auto"/>
          <w:sz w:val="32"/>
          <w:szCs w:val="32"/>
          <w:highlight w:val="none"/>
        </w:rPr>
        <w:t>/</w:t>
      </w:r>
      <w:r>
        <w:rPr>
          <w:rFonts w:hint="eastAsia" w:ascii="仿宋_GB2312" w:hAnsi="仿宋_GB2312" w:cs="仿宋_GB2312"/>
          <w:color w:val="auto"/>
          <w:sz w:val="32"/>
          <w:szCs w:val="32"/>
          <w:highlight w:val="none"/>
          <w:lang w:val="en-US" w:eastAsia="zh-CN"/>
        </w:rPr>
        <w:t>1471.9961</w:t>
      </w:r>
      <w:r>
        <w:rPr>
          <w:rFonts w:hint="eastAsia" w:ascii="仿宋_GB2312" w:hAnsi="仿宋_GB2312" w:eastAsia="仿宋_GB2312" w:cs="仿宋_GB2312"/>
          <w:color w:val="auto"/>
          <w:sz w:val="32"/>
          <w:szCs w:val="32"/>
          <w:highlight w:val="none"/>
        </w:rPr>
        <w:t>*100%=</w:t>
      </w:r>
      <w:r>
        <w:rPr>
          <w:rFonts w:hint="eastAsia" w:ascii="仿宋_GB2312" w:hAnsi="仿宋_GB2312" w:cs="仿宋_GB2312"/>
          <w:color w:val="auto"/>
          <w:sz w:val="32"/>
          <w:szCs w:val="32"/>
          <w:highlight w:val="none"/>
          <w:lang w:val="en-US" w:eastAsia="zh-CN"/>
        </w:rPr>
        <w:t>90.43</w:t>
      </w:r>
      <w:r>
        <w:rPr>
          <w:rFonts w:hint="eastAsia" w:ascii="仿宋_GB2312" w:hAnsi="仿宋_GB2312" w:eastAsia="仿宋_GB2312" w:cs="仿宋_GB2312"/>
          <w:color w:val="auto"/>
          <w:sz w:val="32"/>
          <w:szCs w:val="32"/>
          <w:highlight w:val="none"/>
        </w:rPr>
        <w:t>%</w:t>
      </w:r>
      <w:r>
        <w:rPr>
          <w:rFonts w:hint="eastAsia" w:ascii="仿宋_GB2312" w:hAnsi="仿宋_GB2312" w:cs="仿宋_GB2312"/>
          <w:color w:val="auto"/>
          <w:sz w:val="32"/>
          <w:szCs w:val="32"/>
          <w:highlight w:val="none"/>
          <w:lang w:val="en-US" w:eastAsia="zh-CN"/>
        </w:rPr>
        <w:t>.</w:t>
      </w:r>
    </w:p>
    <w:p>
      <w:pPr>
        <w:pStyle w:val="2"/>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项目分值3分，得分2.71</w:t>
      </w:r>
      <w:r>
        <w:rPr>
          <w:rFonts w:hint="eastAsia" w:ascii="仿宋_GB2312" w:hAnsi="仿宋_GB2312" w:eastAsia="仿宋_GB2312" w:cs="仿宋_GB2312"/>
          <w:color w:val="auto"/>
          <w:sz w:val="32"/>
          <w:szCs w:val="32"/>
          <w:highlight w:val="none"/>
        </w:rPr>
        <w:t>分。</w:t>
      </w:r>
    </w:p>
    <w:p>
      <w:pPr>
        <w:pStyle w:val="2"/>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资金管理指标共得5.28分。</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组织实施</w:t>
      </w:r>
      <w:r>
        <w:rPr>
          <w:rFonts w:hint="eastAsia" w:ascii="仿宋_GB2312" w:hAnsi="仿宋_GB2312" w:eastAsia="仿宋_GB2312" w:cs="仿宋_GB2312"/>
          <w:color w:val="auto"/>
          <w:sz w:val="32"/>
          <w:szCs w:val="32"/>
          <w:highlight w:val="none"/>
        </w:rPr>
        <w:t>指标得分情况分析</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项目资金使用符合相关财务管理规定制度，资金拨付有完整得审批程序和手续，不存在截留、占用、挪用、虚列支出得情况，得3分。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财务管理制度健全，制定了《南昌市市场监督管理局财务管理办法》；制定了《南昌市市场监督管理局预算绩效管理制度》，监控机制健全</w:t>
      </w:r>
      <w:r>
        <w:rPr>
          <w:rFonts w:hint="eastAsia" w:ascii="仿宋_GB2312" w:hAnsi="仿宋_GB2312" w:eastAsia="仿宋_GB2312" w:cs="仿宋_GB2312"/>
          <w:color w:val="auto"/>
          <w:sz w:val="32"/>
          <w:szCs w:val="32"/>
          <w:highlight w:val="none"/>
          <w:lang w:val="en-US" w:eastAsia="zh-CN"/>
        </w:rPr>
        <w:t>得3分</w:t>
      </w:r>
      <w:r>
        <w:rPr>
          <w:rFonts w:hint="eastAsia" w:ascii="仿宋_GB2312" w:hAnsi="仿宋_GB2312" w:eastAsia="仿宋_GB2312" w:cs="仿宋_GB2312"/>
          <w:color w:val="auto"/>
          <w:sz w:val="32"/>
          <w:szCs w:val="32"/>
          <w:highlight w:val="none"/>
        </w:rPr>
        <w:t>。</w:t>
      </w:r>
    </w:p>
    <w:p>
      <w:pPr>
        <w:pStyle w:val="2"/>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项目制度实施遵守有关法律法规和相关规定，项目合同书、专家评审表等资料齐全，得3分。</w:t>
      </w:r>
    </w:p>
    <w:p>
      <w:pPr>
        <w:pStyle w:val="2"/>
        <w:ind w:firstLine="640" w:firstLineChars="200"/>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组织实施指标共得9分。</w:t>
      </w:r>
    </w:p>
    <w:p>
      <w:pPr>
        <w:shd w:val="clear" w:color="auto" w:fill="FFFFFF"/>
        <w:spacing w:line="560" w:lineRule="exact"/>
        <w:ind w:firstLine="640" w:firstLineChars="200"/>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0000FF"/>
          <w:sz w:val="32"/>
          <w:szCs w:val="32"/>
          <w:highlight w:val="none"/>
          <w:lang w:val="en-US" w:eastAsia="zh-CN"/>
        </w:rPr>
        <w:t>项目资金指标权重15分，本次绩效评价实际得14.28分。</w:t>
      </w:r>
    </w:p>
    <w:p>
      <w:pPr>
        <w:spacing w:line="560" w:lineRule="exact"/>
        <w:ind w:firstLine="643" w:firstLineChars="200"/>
        <w:rPr>
          <w:rFonts w:hint="default" w:ascii="楷体_GB2312" w:hAnsi="仿宋_GB2312" w:eastAsia="楷体_GB2312" w:cs="仿宋_GB2312"/>
          <w:b/>
          <w:sz w:val="32"/>
          <w:szCs w:val="32"/>
          <w:highlight w:val="none"/>
          <w:lang w:val="en-US" w:eastAsia="zh-CN"/>
        </w:rPr>
      </w:pPr>
      <w:r>
        <w:rPr>
          <w:rFonts w:hint="eastAsia" w:ascii="楷体_GB2312" w:hAnsi="仿宋_GB2312" w:eastAsia="楷体_GB2312" w:cs="仿宋_GB2312"/>
          <w:b/>
          <w:sz w:val="32"/>
          <w:szCs w:val="32"/>
          <w:highlight w:val="none"/>
        </w:rPr>
        <w:t>（三）项目产出情况</w:t>
      </w:r>
      <w:r>
        <w:rPr>
          <w:rFonts w:hint="eastAsia" w:ascii="楷体_GB2312" w:hAnsi="仿宋_GB2312" w:eastAsia="楷体_GB2312" w:cs="仿宋_GB2312"/>
          <w:b/>
          <w:sz w:val="32"/>
          <w:szCs w:val="32"/>
          <w:highlight w:val="none"/>
          <w:lang w:eastAsia="zh-CN"/>
        </w:rPr>
        <w:t>（</w:t>
      </w:r>
      <w:r>
        <w:rPr>
          <w:rFonts w:hint="eastAsia" w:ascii="楷体_GB2312" w:hAnsi="仿宋_GB2312" w:eastAsia="楷体_GB2312" w:cs="仿宋_GB2312"/>
          <w:b/>
          <w:sz w:val="32"/>
          <w:szCs w:val="32"/>
          <w:highlight w:val="none"/>
          <w:lang w:val="en-US" w:eastAsia="zh-CN"/>
        </w:rPr>
        <w:t>40分）</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产出数量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10分）</w:t>
      </w:r>
    </w:p>
    <w:p>
      <w:pPr>
        <w:spacing w:line="560" w:lineRule="exact"/>
        <w:ind w:firstLine="640" w:firstLineChars="200"/>
        <w:rPr>
          <w:rFonts w:ascii="黑体" w:hAnsi="仿宋_GB2312" w:eastAsia="黑体" w:cs="仿宋_GB2312"/>
          <w:bCs/>
          <w:sz w:val="32"/>
          <w:szCs w:val="32"/>
          <w:highlight w:val="none"/>
        </w:rPr>
      </w:pPr>
      <w:r>
        <w:rPr>
          <w:rFonts w:hint="eastAsia" w:ascii="仿宋_GB2312" w:hAnsi="仿宋_GB2312" w:eastAsia="仿宋_GB2312" w:cs="仿宋_GB2312"/>
          <w:sz w:val="32"/>
          <w:szCs w:val="32"/>
          <w:highlight w:val="none"/>
        </w:rPr>
        <w:t>a.</w:t>
      </w:r>
      <w:r>
        <w:rPr>
          <w:rFonts w:hint="eastAsia" w:ascii="黑体" w:hAnsi="仿宋_GB2312" w:eastAsia="黑体" w:cs="仿宋_GB2312"/>
          <w:bCs/>
          <w:sz w:val="32"/>
          <w:szCs w:val="32"/>
          <w:highlight w:val="none"/>
          <w:shd w:val="clear" w:color="FFFFFF" w:fill="D9D9D9"/>
        </w:rPr>
        <w:t xml:space="preserve"> 知识产权奖励项目(子项目1）</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年受理专利授权奖励4</w:t>
      </w:r>
      <w:r>
        <w:rPr>
          <w:rFonts w:hint="eastAsia" w:ascii="仿宋_GB2312" w:hAnsi="仿宋_GB2312" w:eastAsia="仿宋_GB2312" w:cs="仿宋_GB2312"/>
          <w:sz w:val="32"/>
          <w:szCs w:val="32"/>
          <w:highlight w:val="none"/>
          <w:lang w:val="en-US" w:eastAsia="zh-CN"/>
        </w:rPr>
        <w:t>609</w:t>
      </w:r>
      <w:r>
        <w:rPr>
          <w:rFonts w:hint="eastAsia" w:ascii="仿宋_GB2312" w:hAnsi="仿宋_GB2312" w:eastAsia="仿宋_GB2312" w:cs="仿宋_GB2312"/>
          <w:sz w:val="32"/>
          <w:szCs w:val="32"/>
          <w:highlight w:val="none"/>
        </w:rPr>
        <w:t>项，计划2</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项，得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分；下达专利授权奖励资金</w:t>
      </w:r>
      <w:r>
        <w:rPr>
          <w:rFonts w:hint="eastAsia" w:ascii="仿宋_GB2312" w:hAnsi="仿宋_GB2312" w:eastAsia="仿宋_GB2312" w:cs="仿宋_GB2312"/>
          <w:sz w:val="32"/>
          <w:szCs w:val="32"/>
          <w:highlight w:val="none"/>
          <w:lang w:val="en-US" w:eastAsia="zh-CN"/>
        </w:rPr>
        <w:t>842.25</w:t>
      </w:r>
      <w:r>
        <w:rPr>
          <w:rFonts w:hint="eastAsia" w:ascii="仿宋_GB2312" w:hAnsi="仿宋_GB2312" w:eastAsia="仿宋_GB2312" w:cs="仿宋_GB2312"/>
          <w:sz w:val="32"/>
          <w:szCs w:val="32"/>
          <w:highlight w:val="none"/>
        </w:rPr>
        <w:t>万元，下拨</w:t>
      </w:r>
      <w:r>
        <w:rPr>
          <w:rFonts w:hint="eastAsia" w:ascii="仿宋_GB2312" w:hAnsi="仿宋_GB2312" w:eastAsia="仿宋_GB2312" w:cs="仿宋_GB2312"/>
          <w:sz w:val="32"/>
          <w:szCs w:val="32"/>
          <w:highlight w:val="none"/>
          <w:lang w:val="en-US" w:eastAsia="zh-CN"/>
        </w:rPr>
        <w:t>841.05</w:t>
      </w:r>
      <w:r>
        <w:rPr>
          <w:rFonts w:hint="eastAsia" w:ascii="仿宋_GB2312" w:hAnsi="仿宋_GB2312" w:eastAsia="仿宋_GB2312" w:cs="仿宋_GB2312"/>
          <w:sz w:val="32"/>
          <w:szCs w:val="32"/>
          <w:highlight w:val="none"/>
        </w:rPr>
        <w:t>万元，得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分；共得</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年完成</w:t>
      </w:r>
      <w:r>
        <w:rPr>
          <w:rFonts w:hint="eastAsia" w:ascii="仿宋" w:hAnsi="仿宋" w:eastAsia="仿宋" w:cs="仿宋"/>
          <w:sz w:val="32"/>
          <w:szCs w:val="32"/>
          <w:highlight w:val="none"/>
        </w:rPr>
        <w:t>企业累计拥有国内外有效发明专利</w:t>
      </w:r>
      <w:r>
        <w:rPr>
          <w:rFonts w:hint="eastAsia" w:ascii="仿宋_GB2312" w:hAnsi="仿宋_GB2312" w:eastAsia="仿宋_GB2312" w:cs="仿宋_GB2312"/>
          <w:sz w:val="32"/>
          <w:szCs w:val="32"/>
          <w:highlight w:val="none"/>
        </w:rPr>
        <w:t>奖励</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家，计划2家，得</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分；完成支付得</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分，共得</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3）2020年</w:t>
      </w:r>
      <w:r>
        <w:rPr>
          <w:rFonts w:hint="eastAsia" w:ascii="仿宋_GB2312" w:hAnsi="仿宋_GB2312" w:eastAsia="仿宋_GB2312" w:cs="仿宋_GB2312"/>
          <w:sz w:val="32"/>
          <w:szCs w:val="32"/>
          <w:highlight w:val="none"/>
          <w:lang w:val="en-US" w:eastAsia="zh-CN"/>
        </w:rPr>
        <w:t>审核通过</w:t>
      </w:r>
      <w:r>
        <w:rPr>
          <w:rFonts w:hint="eastAsia" w:ascii="仿宋_GB2312" w:hAnsi="仿宋_GB2312" w:eastAsia="仿宋_GB2312" w:cs="仿宋_GB2312"/>
          <w:sz w:val="32"/>
          <w:szCs w:val="32"/>
          <w:highlight w:val="none"/>
        </w:rPr>
        <w:t>优势示范企业奖励5家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计划5家。</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分。</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知识产权奖励项目产出数量权重为10分，本次绩效评价实际得10分。</w:t>
      </w:r>
    </w:p>
    <w:p>
      <w:pPr>
        <w:spacing w:line="560" w:lineRule="exact"/>
        <w:ind w:firstLine="640" w:firstLineChars="200"/>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4.79</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黑体" w:hAnsi="仿宋_GB2312" w:eastAsia="黑体" w:cs="仿宋_GB2312"/>
          <w:bCs/>
          <w:sz w:val="32"/>
          <w:szCs w:val="32"/>
          <w:highlight w:val="none"/>
          <w:shd w:val="clear" w:color="FFFFFF" w:fill="D9D9D9"/>
        </w:rPr>
      </w:pPr>
      <w:r>
        <w:rPr>
          <w:rFonts w:hint="eastAsia" w:ascii="仿宋_GB2312" w:hAnsi="仿宋_GB2312" w:eastAsia="仿宋_GB2312" w:cs="仿宋_GB2312"/>
          <w:sz w:val="32"/>
          <w:szCs w:val="32"/>
          <w:highlight w:val="none"/>
        </w:rPr>
        <w:t xml:space="preserve">b. </w:t>
      </w:r>
      <w:r>
        <w:rPr>
          <w:rFonts w:hint="eastAsia" w:ascii="黑体" w:hAnsi="仿宋_GB2312" w:eastAsia="黑体" w:cs="仿宋_GB2312"/>
          <w:bCs/>
          <w:sz w:val="32"/>
          <w:szCs w:val="32"/>
          <w:highlight w:val="none"/>
          <w:shd w:val="clear" w:color="FFFFFF" w:fill="D9D9D9"/>
        </w:rPr>
        <w:t>知识产权补助项目(子项目2）</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2020年受理企业贯标补助项目37家，计划10家。得2.5分，完成支付</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分。共得</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年完成质押融资补助</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家，计划</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家，得</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完成支付，得2.5分。共得10分。</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知识产权补助项目产出数量权重为10分，本次绩效评价实际得10分。</w:t>
      </w:r>
    </w:p>
    <w:p>
      <w:pPr>
        <w:spacing w:line="560" w:lineRule="exact"/>
        <w:ind w:firstLine="640" w:firstLineChars="200"/>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2.91</w:t>
      </w:r>
      <w:r>
        <w:rPr>
          <w:rFonts w:hint="eastAsia" w:ascii="仿宋_GB2312" w:hAnsi="仿宋_GB2312" w:eastAsia="仿宋_GB2312" w:cs="仿宋_GB2312"/>
          <w:color w:val="0000FF"/>
          <w:sz w:val="32"/>
          <w:szCs w:val="32"/>
          <w:highlight w:val="none"/>
        </w:rPr>
        <w:t>分。</w:t>
      </w:r>
    </w:p>
    <w:p>
      <w:pPr>
        <w:ind w:firstLine="640" w:firstLineChars="200"/>
        <w:rPr>
          <w:rFonts w:hint="eastAsia" w:ascii="黑体" w:hAnsi="仿宋_GB2312" w:eastAsia="黑体" w:cs="仿宋_GB2312"/>
          <w:bCs/>
          <w:sz w:val="32"/>
          <w:szCs w:val="32"/>
          <w:highlight w:val="none"/>
          <w:shd w:val="clear" w:color="FFFFFF" w:fill="D9D9D9"/>
        </w:rPr>
      </w:pPr>
      <w:r>
        <w:rPr>
          <w:rFonts w:hint="eastAsia" w:ascii="仿宋_GB2312" w:hAnsi="仿宋_GB2312" w:eastAsia="仿宋_GB2312" w:cs="仿宋_GB2312"/>
          <w:sz w:val="32"/>
          <w:szCs w:val="32"/>
          <w:highlight w:val="none"/>
        </w:rPr>
        <w:t xml:space="preserve">c. </w:t>
      </w:r>
      <w:r>
        <w:rPr>
          <w:rFonts w:hint="eastAsia" w:ascii="黑体" w:hAnsi="仿宋_GB2312" w:eastAsia="黑体" w:cs="仿宋_GB2312"/>
          <w:bCs/>
          <w:sz w:val="32"/>
          <w:szCs w:val="32"/>
          <w:highlight w:val="none"/>
          <w:shd w:val="clear" w:color="FFFFFF" w:fill="D9D9D9"/>
        </w:rPr>
        <w:t>知识产权维权援助专项(子项目3）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年完成了维权案件资金案件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起，计划</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起，得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完成了维权援助</w:t>
      </w:r>
      <w:r>
        <w:rPr>
          <w:rFonts w:hint="eastAsia" w:ascii="仿宋_GB2312" w:hAnsi="仿宋_GB2312" w:eastAsia="仿宋_GB2312" w:cs="仿宋_GB2312"/>
          <w:sz w:val="32"/>
          <w:szCs w:val="32"/>
          <w:lang w:eastAsia="zh-CN"/>
        </w:rPr>
        <w:t>智力援助</w:t>
      </w:r>
      <w:r>
        <w:rPr>
          <w:rFonts w:hint="eastAsia" w:ascii="仿宋_GB2312" w:hAnsi="仿宋_GB2312" w:eastAsia="仿宋_GB2312" w:cs="仿宋_GB2312"/>
          <w:sz w:val="32"/>
          <w:szCs w:val="32"/>
          <w:lang w:val="en-US" w:eastAsia="zh-CN"/>
        </w:rPr>
        <w:t>17期，得5分。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完成了维权援助平台运行维护1次，计划1次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知识产权维权援助项目产出数量权重为10，本次绩效评价实际得5分。</w:t>
      </w:r>
    </w:p>
    <w:p>
      <w:pPr>
        <w:spacing w:line="560" w:lineRule="exact"/>
        <w:ind w:firstLine="640" w:firstLineChars="200"/>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0.11</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ascii="黑体" w:hAnsi="仿宋_GB2312" w:eastAsia="黑体" w:cs="仿宋_GB2312"/>
          <w:bCs/>
          <w:sz w:val="32"/>
          <w:szCs w:val="32"/>
          <w:highlight w:val="none"/>
          <w:shd w:val="clear" w:color="FFFFFF" w:fill="D9D9D9"/>
        </w:rPr>
      </w:pPr>
      <w:r>
        <w:rPr>
          <w:rFonts w:ascii="仿宋_GB2312" w:hAnsi="仿宋_GB2312" w:eastAsia="仿宋_GB2312" w:cs="仿宋_GB2312"/>
          <w:sz w:val="32"/>
          <w:szCs w:val="32"/>
          <w:highlight w:val="none"/>
        </w:rPr>
        <w:t>d</w:t>
      </w:r>
      <w:r>
        <w:rPr>
          <w:rFonts w:hint="eastAsia" w:ascii="仿宋_GB2312" w:hAnsi="仿宋_GB2312" w:eastAsia="仿宋_GB2312" w:cs="仿宋_GB2312"/>
          <w:sz w:val="32"/>
          <w:szCs w:val="32"/>
          <w:highlight w:val="none"/>
        </w:rPr>
        <w:t>.</w:t>
      </w:r>
      <w:r>
        <w:rPr>
          <w:rFonts w:hint="eastAsia" w:ascii="黑体" w:hAnsi="仿宋_GB2312" w:eastAsia="黑体" w:cs="仿宋_GB2312"/>
          <w:bCs/>
          <w:sz w:val="32"/>
          <w:szCs w:val="32"/>
          <w:highlight w:val="none"/>
          <w:shd w:val="clear" w:color="FFFFFF" w:fill="D9D9D9"/>
        </w:rPr>
        <w:t xml:space="preserve"> 知识产权保护中心运行经费项目(子项目4）</w:t>
      </w:r>
    </w:p>
    <w:p>
      <w:pPr>
        <w:spacing w:line="560" w:lineRule="exact"/>
        <w:ind w:firstLine="640" w:firstLineChars="200"/>
        <w:rPr>
          <w:rFonts w:hint="default" w:ascii="仿宋_GB2312" w:hAnsi="宋体" w:eastAsia="仿宋_GB2312" w:cs="宋体"/>
          <w:b w:val="0"/>
          <w:bCs w:val="0"/>
          <w:color w:val="000000"/>
          <w:kern w:val="0"/>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rPr>
        <w:t>1）完</w:t>
      </w:r>
      <w:r>
        <w:rPr>
          <w:rFonts w:hint="eastAsia" w:ascii="仿宋_GB2312" w:hAnsi="宋体" w:eastAsia="仿宋_GB2312" w:cs="宋体"/>
          <w:b w:val="0"/>
          <w:bCs w:val="0"/>
          <w:color w:val="000000"/>
          <w:kern w:val="0"/>
          <w:sz w:val="32"/>
          <w:szCs w:val="32"/>
          <w:highlight w:val="none"/>
          <w:lang w:eastAsia="zh-CN"/>
        </w:rPr>
        <w:t>成生物医药产业专利导航</w:t>
      </w:r>
      <w:r>
        <w:rPr>
          <w:rFonts w:hint="eastAsia" w:ascii="仿宋_GB2312" w:hAnsi="仿宋_GB2312" w:eastAsia="仿宋_GB2312" w:cs="仿宋_GB2312"/>
          <w:b w:val="0"/>
          <w:bCs w:val="0"/>
          <w:color w:val="auto"/>
          <w:sz w:val="32"/>
          <w:szCs w:val="32"/>
          <w:highlight w:val="none"/>
          <w:lang w:val="en-US" w:eastAsia="zh-CN"/>
        </w:rPr>
        <w:t>主要内容，重点分析了中药提取、常规医用耗材、检验分析、医学成像等南昌创新主体关注的重要技术领域，形成了《南昌市生物医药产业报告》、《南昌市生物医药产业专利导航报告》和《重要技术领域专利导航报告》，建立了全球生物医药产业专利数据库，推动组建了我市第一家知识产权产业联盟，为我市5家重点企业开展了专利微导航，因疫情原因生物医药导航项目成果发布会预计2021年3月份发布，得1分；并启动电子信息专利导航项目，完成了电子信息产业专利导航及预警项目招标，得1分；</w:t>
      </w:r>
    </w:p>
    <w:p>
      <w:pPr>
        <w:spacing w:line="560" w:lineRule="exact"/>
        <w:ind w:firstLine="640" w:firstLineChars="200"/>
        <w:rPr>
          <w:rFonts w:ascii="仿宋_GB2312" w:hAnsi="仿宋_GB2312" w:eastAsia="仿宋_GB2312" w:cs="仿宋_GB2312"/>
          <w:b w:val="0"/>
          <w:bCs w:val="0"/>
          <w:sz w:val="32"/>
          <w:szCs w:val="32"/>
          <w:highlight w:val="none"/>
        </w:rPr>
      </w:pPr>
      <w:r>
        <w:rPr>
          <w:rFonts w:hint="eastAsia" w:ascii="仿宋_GB2312" w:hAnsi="宋体" w:eastAsia="仿宋_GB2312" w:cs="宋体"/>
          <w:b w:val="0"/>
          <w:bCs w:val="0"/>
          <w:color w:val="000000"/>
          <w:kern w:val="0"/>
          <w:sz w:val="32"/>
          <w:szCs w:val="32"/>
          <w:highlight w:val="none"/>
          <w:lang w:val="en-US" w:eastAsia="zh-CN" w:bidi="ar-SA"/>
        </w:rPr>
        <w:t>2）完成专利预审受理量1055件，得2分；入册企业备案量759件，得1分；完成专利授权量483件，得1分；走访调研企业40家，得1分；完成百企行定制化服务20次，得1分。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宋体" w:eastAsia="仿宋_GB2312" w:cs="宋体"/>
          <w:b w:val="0"/>
          <w:bCs w:val="0"/>
          <w:color w:val="000000"/>
          <w:kern w:val="0"/>
          <w:sz w:val="32"/>
          <w:szCs w:val="32"/>
          <w:highlight w:val="none"/>
          <w:lang w:val="en-US" w:eastAsia="zh-CN" w:bidi="ar-SA"/>
        </w:rPr>
        <w:t>3）</w:t>
      </w:r>
      <w:r>
        <w:rPr>
          <w:rFonts w:hint="eastAsia" w:ascii="仿宋_GB2312" w:hAnsi="仿宋_GB2312" w:eastAsia="仿宋_GB2312" w:cs="仿宋_GB2312"/>
          <w:b w:val="0"/>
          <w:bCs w:val="0"/>
          <w:color w:val="auto"/>
          <w:sz w:val="32"/>
          <w:szCs w:val="32"/>
          <w:highlight w:val="none"/>
          <w:lang w:val="en-US" w:eastAsia="zh-CN"/>
        </w:rPr>
        <w:t>完成企业委托40件专利侵权判定咨询意见案件，出具了32份专利侵权判定咨询意见书，涉案金额达8500万元,得1分；完成调解处理知识产权纠纷案件量12件，得1分。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知识产权保护中心运行经费</w:t>
      </w:r>
      <w:r>
        <w:rPr>
          <w:rFonts w:hint="eastAsia" w:ascii="仿宋_GB2312" w:hAnsi="仿宋_GB2312" w:eastAsia="仿宋_GB2312" w:cs="仿宋_GB2312"/>
          <w:sz w:val="32"/>
          <w:szCs w:val="32"/>
          <w:highlight w:val="none"/>
        </w:rPr>
        <w:t>产出数量指标</w:t>
      </w:r>
      <w:r>
        <w:rPr>
          <w:rFonts w:hint="eastAsia" w:ascii="仿宋_GB2312" w:hAnsi="仿宋_GB2312" w:eastAsia="仿宋_GB2312" w:cs="仿宋_GB2312"/>
          <w:sz w:val="32"/>
          <w:szCs w:val="32"/>
          <w:highlight w:val="none"/>
          <w:lang w:val="en-US" w:eastAsia="zh-CN"/>
        </w:rPr>
        <w:t>权重为10分，本次绩效评价实际</w:t>
      </w:r>
      <w:r>
        <w:rPr>
          <w:rFonts w:hint="eastAsia" w:ascii="仿宋_GB2312" w:hAnsi="仿宋_GB2312" w:eastAsia="仿宋_GB2312" w:cs="仿宋_GB2312"/>
          <w:sz w:val="32"/>
          <w:szCs w:val="32"/>
          <w:highlight w:val="none"/>
        </w:rPr>
        <w:t>得分为</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分。</w:t>
      </w:r>
    </w:p>
    <w:p>
      <w:pPr>
        <w:spacing w:line="560" w:lineRule="exact"/>
        <w:ind w:firstLine="640" w:firstLineChars="200"/>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1.79</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ascii="黑体" w:hAnsi="仿宋_GB2312" w:eastAsia="黑体" w:cs="仿宋_GB2312"/>
          <w:bCs/>
          <w:sz w:val="32"/>
          <w:szCs w:val="32"/>
          <w:highlight w:val="none"/>
          <w:shd w:val="clear" w:color="FFFFFF" w:fill="D9D9D9"/>
        </w:rPr>
      </w:pPr>
      <w:r>
        <w:rPr>
          <w:rFonts w:hint="eastAsia" w:ascii="黑体" w:hAnsi="仿宋_GB2312" w:eastAsia="黑体" w:cs="仿宋_GB2312"/>
          <w:bCs/>
          <w:sz w:val="32"/>
          <w:szCs w:val="32"/>
          <w:highlight w:val="none"/>
          <w:shd w:val="clear" w:color="FFFFFF" w:fill="D9D9D9"/>
          <w:lang w:val="en-US" w:eastAsia="zh-CN"/>
        </w:rPr>
        <w:t>e.</w:t>
      </w:r>
      <w:r>
        <w:rPr>
          <w:rFonts w:hint="eastAsia" w:ascii="黑体" w:hAnsi="仿宋_GB2312" w:eastAsia="黑体" w:cs="仿宋_GB2312"/>
          <w:bCs/>
          <w:sz w:val="32"/>
          <w:szCs w:val="32"/>
          <w:highlight w:val="none"/>
          <w:shd w:val="clear" w:color="FFFFFF" w:fill="D9D9D9"/>
        </w:rPr>
        <w:t>专利管理费(子项目5）</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1）开展</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次知识产权执法专项行动，已开展</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次，得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 w:hAnsi="仿宋" w:eastAsia="仿宋" w:cs="仿宋"/>
          <w:sz w:val="32"/>
          <w:szCs w:val="32"/>
          <w:highlight w:val="none"/>
        </w:rPr>
        <w:t>知识产权知识产权立案数</w:t>
      </w:r>
      <w:r>
        <w:rPr>
          <w:rFonts w:hint="eastAsia" w:ascii="仿宋_GB2312" w:hAnsi="仿宋_GB2312"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rPr>
        <w:t>件，计划</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件，得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left="638" w:leftChars="304" w:firstLine="0"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 w:hAnsi="仿宋" w:eastAsia="仿宋" w:cs="仿宋"/>
          <w:sz w:val="32"/>
          <w:szCs w:val="32"/>
          <w:highlight w:val="none"/>
        </w:rPr>
        <w:t>知识产权知识产权立案数</w:t>
      </w:r>
      <w:r>
        <w:rPr>
          <w:rFonts w:hint="eastAsia" w:ascii="仿宋_GB2312" w:hAnsi="仿宋_GB2312" w:eastAsia="仿宋_GB2312" w:cs="仿宋_GB2312"/>
          <w:sz w:val="32"/>
          <w:szCs w:val="32"/>
          <w:highlight w:val="none"/>
          <w:lang w:val="en-US" w:eastAsia="zh-CN"/>
        </w:rPr>
        <w:t>73</w:t>
      </w:r>
      <w:r>
        <w:rPr>
          <w:rFonts w:hint="eastAsia" w:ascii="仿宋_GB2312" w:hAnsi="仿宋_GB2312" w:eastAsia="仿宋_GB2312" w:cs="仿宋_GB2312"/>
          <w:sz w:val="32"/>
          <w:szCs w:val="32"/>
          <w:highlight w:val="none"/>
        </w:rPr>
        <w:t>件，计划</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件，得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left="638" w:leftChars="304"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年完成宣传、培训</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次达1000人次，计划</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次，得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）支付数据库第</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期费用，得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知识产权管理费项目</w:t>
      </w:r>
      <w:r>
        <w:rPr>
          <w:rFonts w:hint="eastAsia" w:ascii="仿宋_GB2312" w:hAnsi="仿宋_GB2312" w:eastAsia="仿宋_GB2312" w:cs="仿宋_GB2312"/>
          <w:sz w:val="32"/>
          <w:szCs w:val="32"/>
          <w:highlight w:val="none"/>
        </w:rPr>
        <w:t>产出数量指标</w:t>
      </w:r>
      <w:r>
        <w:rPr>
          <w:rFonts w:hint="eastAsia" w:ascii="仿宋_GB2312" w:hAnsi="仿宋_GB2312" w:eastAsia="仿宋_GB2312" w:cs="仿宋_GB2312"/>
          <w:sz w:val="32"/>
          <w:szCs w:val="32"/>
          <w:highlight w:val="none"/>
          <w:lang w:val="en-US" w:eastAsia="zh-CN"/>
        </w:rPr>
        <w:t>权重为10分，本次绩效评价实际得分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0.29</w:t>
      </w:r>
      <w:r>
        <w:rPr>
          <w:rFonts w:hint="eastAsia" w:ascii="仿宋_GB2312" w:hAnsi="仿宋_GB2312" w:eastAsia="仿宋_GB2312" w:cs="仿宋_GB2312"/>
          <w:color w:val="0000FF"/>
          <w:sz w:val="32"/>
          <w:szCs w:val="32"/>
          <w:highlight w:val="none"/>
        </w:rPr>
        <w:t>分。</w:t>
      </w:r>
    </w:p>
    <w:p>
      <w:pPr>
        <w:spacing w:line="560" w:lineRule="exact"/>
        <w:ind w:firstLine="643" w:firstLineChars="200"/>
        <w:rPr>
          <w:rFonts w:hint="default" w:ascii="仿宋_GB2312" w:hAnsi="仿宋_GB2312" w:eastAsia="仿宋_GB2312" w:cs="仿宋_GB2312"/>
          <w:b/>
          <w:bCs/>
          <w:color w:val="0000FF"/>
          <w:sz w:val="32"/>
          <w:szCs w:val="32"/>
          <w:highlight w:val="none"/>
          <w:shd w:val="clear" w:color="auto" w:fill="auto"/>
          <w:lang w:val="en-US" w:eastAsia="zh-CN"/>
        </w:rPr>
      </w:pPr>
      <w:r>
        <w:rPr>
          <w:rFonts w:hint="eastAsia" w:ascii="仿宋_GB2312" w:hAnsi="仿宋_GB2312" w:eastAsia="仿宋_GB2312" w:cs="仿宋_GB2312"/>
          <w:b/>
          <w:bCs/>
          <w:color w:val="0000FF"/>
          <w:sz w:val="32"/>
          <w:szCs w:val="32"/>
          <w:highlight w:val="none"/>
          <w:shd w:val="clear" w:color="auto" w:fill="auto"/>
          <w:lang w:val="en-US" w:eastAsia="zh-CN"/>
        </w:rPr>
        <w:t>产出数量指标权重10分，本次绩效评价实际得9.89分。</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2、产出质量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所有项目均符合南昌市知识产权专项资金管理办法，得</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分。</w:t>
      </w:r>
    </w:p>
    <w:p>
      <w:pPr>
        <w:spacing w:line="560" w:lineRule="exact"/>
        <w:ind w:firstLine="643" w:firstLineChars="200"/>
        <w:rPr>
          <w:rFonts w:hint="default" w:ascii="仿宋_GB2312" w:hAnsi="仿宋_GB2312" w:eastAsia="仿宋_GB2312" w:cs="仿宋_GB2312"/>
          <w:b/>
          <w:bCs/>
          <w:color w:val="0000FF"/>
          <w:sz w:val="32"/>
          <w:szCs w:val="32"/>
          <w:highlight w:val="none"/>
          <w:lang w:val="en-US" w:eastAsia="zh-CN"/>
        </w:rPr>
      </w:pPr>
      <w:r>
        <w:rPr>
          <w:rFonts w:hint="eastAsia" w:ascii="仿宋_GB2312" w:hAnsi="仿宋_GB2312" w:eastAsia="仿宋_GB2312" w:cs="仿宋_GB2312"/>
          <w:b/>
          <w:bCs/>
          <w:color w:val="0000FF"/>
          <w:sz w:val="32"/>
          <w:szCs w:val="32"/>
          <w:highlight w:val="none"/>
          <w:lang w:val="en-US" w:eastAsia="zh-CN"/>
        </w:rPr>
        <w:t>产出质量指标权重10分，本次绩效评价实际得10分。</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3、产出时效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a.知识产权奖励项目</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奖励项目年底转账时因收款人账号原因，导致部分款项退回，于2021年1月完成最终支付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3.83</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b.知识产权补助项目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质押融资补助项目资金于2020年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2月</w:t>
      </w:r>
      <w:r>
        <w:rPr>
          <w:rFonts w:hint="eastAsia" w:ascii="仿宋_GB2312" w:hAnsi="仿宋_GB2312" w:eastAsia="仿宋_GB2312" w:cs="仿宋_GB2312"/>
          <w:sz w:val="32"/>
          <w:szCs w:val="32"/>
          <w:highlight w:val="none"/>
          <w:lang w:val="en-US" w:eastAsia="zh-CN"/>
        </w:rPr>
        <w:t>底</w:t>
      </w:r>
      <w:r>
        <w:rPr>
          <w:rFonts w:hint="eastAsia" w:ascii="仿宋_GB2312" w:hAnsi="仿宋_GB2312" w:eastAsia="仿宋_GB2312" w:cs="仿宋_GB2312"/>
          <w:sz w:val="32"/>
          <w:szCs w:val="32"/>
          <w:highlight w:val="none"/>
        </w:rPr>
        <w:t>支付完成。得</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2.91</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c.知识产权维权援助项目</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本项目实际下达时间与年初计划时间同步，在20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年12月31日前完成，得</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0.22</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d.知识产权保护中心运行经费项目</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w:t>
      </w:r>
      <w:r>
        <w:rPr>
          <w:rFonts w:hint="eastAsia" w:ascii="仿宋_GB2312" w:hAnsi="仿宋_GB2312" w:eastAsia="仿宋_GB2312" w:cs="仿宋_GB2312"/>
          <w:sz w:val="32"/>
          <w:szCs w:val="32"/>
          <w:highlight w:val="none"/>
          <w:lang w:eastAsia="zh-CN"/>
        </w:rPr>
        <w:t>除生物医药导航项目的成果发布会因受疫情影响延迟至</w:t>
      </w:r>
      <w:r>
        <w:rPr>
          <w:rFonts w:hint="eastAsia" w:ascii="仿宋_GB2312" w:hAnsi="仿宋_GB2312" w:eastAsia="仿宋_GB2312" w:cs="仿宋_GB2312"/>
          <w:sz w:val="32"/>
          <w:szCs w:val="32"/>
          <w:highlight w:val="none"/>
          <w:lang w:val="en-US" w:eastAsia="zh-CN"/>
        </w:rPr>
        <w:t>2021年3月发布</w:t>
      </w:r>
      <w:r>
        <w:rPr>
          <w:rFonts w:hint="eastAsia" w:ascii="仿宋_GB2312" w:hAnsi="仿宋_GB2312" w:eastAsia="仿宋_GB2312" w:cs="仿宋_GB2312"/>
          <w:sz w:val="32"/>
          <w:szCs w:val="32"/>
          <w:highlight w:val="none"/>
          <w:lang w:eastAsia="zh-CN"/>
        </w:rPr>
        <w:t>外，其他目标</w:t>
      </w:r>
      <w:r>
        <w:rPr>
          <w:rFonts w:hint="eastAsia" w:ascii="仿宋_GB2312" w:hAnsi="仿宋_GB2312" w:eastAsia="仿宋_GB2312" w:cs="仿宋_GB2312"/>
          <w:sz w:val="32"/>
          <w:szCs w:val="32"/>
          <w:highlight w:val="none"/>
        </w:rPr>
        <w:t>实际下达时间与年初计划时间同步，在20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年12月31日前完成，得</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1.43</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e.知识产权管理费项目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本项目实际下达时间与年初计划时间同步，在20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年12月31日前完成，得</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0.29</w:t>
      </w:r>
      <w:r>
        <w:rPr>
          <w:rFonts w:hint="eastAsia" w:ascii="仿宋_GB2312" w:hAnsi="仿宋_GB2312" w:eastAsia="仿宋_GB2312" w:cs="仿宋_GB2312"/>
          <w:color w:val="0000FF"/>
          <w:sz w:val="32"/>
          <w:szCs w:val="32"/>
          <w:highlight w:val="none"/>
        </w:rPr>
        <w:t>分。</w:t>
      </w:r>
    </w:p>
    <w:p>
      <w:pPr>
        <w:spacing w:line="560" w:lineRule="exact"/>
        <w:ind w:firstLine="643" w:firstLineChars="200"/>
        <w:rPr>
          <w:rFonts w:hint="default" w:ascii="仿宋_GB2312" w:hAnsi="仿宋_GB2312" w:eastAsia="仿宋_GB2312" w:cs="仿宋_GB2312"/>
          <w:b/>
          <w:bCs/>
          <w:color w:val="0000FF"/>
          <w:sz w:val="32"/>
          <w:szCs w:val="32"/>
          <w:highlight w:val="none"/>
          <w:lang w:val="en-US" w:eastAsia="zh-CN"/>
        </w:rPr>
      </w:pPr>
      <w:r>
        <w:rPr>
          <w:rFonts w:hint="eastAsia" w:ascii="仿宋_GB2312" w:hAnsi="仿宋_GB2312" w:eastAsia="仿宋_GB2312" w:cs="仿宋_GB2312"/>
          <w:b/>
          <w:bCs/>
          <w:color w:val="0000FF"/>
          <w:sz w:val="32"/>
          <w:szCs w:val="32"/>
          <w:highlight w:val="none"/>
          <w:lang w:val="en-US" w:eastAsia="zh-CN"/>
        </w:rPr>
        <w:t>产出时效指标权重10分，本次绩效评价实际得8.68分。</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4、产出成本</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a.知识产权奖励项目</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highlight w:val="none"/>
        </w:rPr>
        <w:t>实际支出与计划安排费用的变动程度=(820.8-841.05)/800*100%</w:t>
      </w:r>
      <w:r>
        <w:rPr>
          <w:rFonts w:hint="eastAsia" w:ascii="仿宋_GB2312" w:hAnsi="仿宋_GB2312" w:eastAsia="仿宋_GB2312" w:cs="仿宋_GB2312"/>
          <w:color w:val="auto"/>
          <w:sz w:val="32"/>
          <w:szCs w:val="32"/>
          <w:highlight w:val="none"/>
          <w:lang w:val="en-US" w:eastAsia="zh-CN"/>
        </w:rPr>
        <w:t>=-2.53%，±10%以内</w:t>
      </w:r>
      <w:r>
        <w:rPr>
          <w:rFonts w:hint="eastAsia" w:ascii="仿宋_GB2312" w:hAnsi="仿宋_GB2312" w:eastAsia="仿宋_GB2312" w:cs="仿宋_GB2312"/>
          <w:color w:val="auto"/>
          <w:sz w:val="32"/>
          <w:szCs w:val="32"/>
          <w:highlight w:val="none"/>
        </w:rPr>
        <w:t>，得</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4.79</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b.知识产权补助项目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实际支出与计划安排费用的变动程度=(500-262.4761)/500=47.5%，±50%以内</w:t>
      </w:r>
      <w:r>
        <w:rPr>
          <w:rFonts w:hint="eastAsia" w:ascii="仿宋_GB2312" w:hAnsi="仿宋_GB2312" w:eastAsia="仿宋_GB2312" w:cs="仿宋_GB2312"/>
          <w:color w:val="auto"/>
          <w:sz w:val="32"/>
          <w:szCs w:val="32"/>
          <w:highlight w:val="none"/>
        </w:rPr>
        <w:t>，得</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1.17</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c.知识产权维权援助项目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实际支出与计划安排费用的变动程度=</w:t>
      </w:r>
      <w:r>
        <w:rPr>
          <w:rFonts w:hint="eastAsia" w:ascii="仿宋_GB2312" w:hAnsi="仿宋_GB2312" w:eastAsia="仿宋_GB2312" w:cs="仿宋_GB2312"/>
          <w:sz w:val="32"/>
          <w:szCs w:val="32"/>
          <w:lang w:val="en-US" w:eastAsia="zh-CN"/>
        </w:rPr>
        <w:t>（37-15.76）/37*100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57.41</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不得分。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d.知识产权保护中心运行经费项目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因生物医药导航项目和电子信息专利导航项目跨年，尾款于2021年支付到位。</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实际支出与计划安排费用的变动程度=（</w:t>
      </w:r>
      <w:r>
        <w:rPr>
          <w:rFonts w:hint="eastAsia" w:ascii="仿宋_GB2312" w:hAnsi="仿宋_GB2312" w:eastAsia="仿宋_GB2312" w:cs="仿宋_GB2312"/>
          <w:sz w:val="32"/>
          <w:szCs w:val="32"/>
          <w:highlight w:val="none"/>
          <w:lang w:val="en-US" w:eastAsia="zh-CN"/>
        </w:rPr>
        <w:t>307.47-208.94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307.47*100%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32.05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±50%以内</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0.72</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e.知识产权管理费项目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实际支出与计划安排费用的变动程度=(50-2.91)/50</w:t>
      </w:r>
      <w:r>
        <w:rPr>
          <w:rFonts w:hint="eastAsia" w:ascii="仿宋_GB2312" w:hAnsi="仿宋_GB2312" w:eastAsia="仿宋_GB2312" w:cs="仿宋_GB2312"/>
          <w:sz w:val="32"/>
          <w:szCs w:val="32"/>
          <w:highlight w:val="none"/>
          <w:lang w:val="en-US" w:eastAsia="zh-CN"/>
        </w:rPr>
        <w:t>=94.18＞5</w:t>
      </w:r>
      <w:r>
        <w:rPr>
          <w:rFonts w:hint="eastAsia" w:ascii="仿宋_GB2312" w:hAnsi="仿宋_GB2312" w:eastAsia="仿宋_GB2312" w:cs="仿宋_GB2312"/>
          <w:sz w:val="32"/>
          <w:szCs w:val="32"/>
          <w:highlight w:val="none"/>
        </w:rPr>
        <w:t>0％，得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w:t>
      </w:r>
      <w:r>
        <w:rPr>
          <w:rFonts w:hint="eastAsia" w:ascii="仿宋_GB2312" w:hAnsi="仿宋_GB2312" w:eastAsia="仿宋_GB2312" w:cs="仿宋_GB2312"/>
          <w:color w:val="0000FF"/>
          <w:sz w:val="32"/>
          <w:szCs w:val="32"/>
          <w:highlight w:val="none"/>
        </w:rPr>
        <w:t>分。</w:t>
      </w:r>
    </w:p>
    <w:p>
      <w:pPr>
        <w:spacing w:line="560" w:lineRule="exact"/>
        <w:ind w:firstLine="643" w:firstLineChars="200"/>
        <w:rPr>
          <w:rFonts w:hint="default" w:ascii="仿宋_GB2312" w:hAnsi="仿宋_GB2312" w:eastAsia="仿宋_GB2312" w:cs="仿宋_GB2312"/>
          <w:b/>
          <w:bCs/>
          <w:color w:val="0000FF"/>
          <w:sz w:val="32"/>
          <w:szCs w:val="32"/>
          <w:highlight w:val="none"/>
          <w:lang w:val="en-US" w:eastAsia="zh-CN"/>
        </w:rPr>
      </w:pPr>
      <w:r>
        <w:rPr>
          <w:rFonts w:hint="eastAsia" w:ascii="仿宋_GB2312" w:hAnsi="仿宋_GB2312" w:eastAsia="仿宋_GB2312" w:cs="仿宋_GB2312"/>
          <w:b/>
          <w:bCs/>
          <w:color w:val="0000FF"/>
          <w:sz w:val="32"/>
          <w:szCs w:val="32"/>
          <w:highlight w:val="none"/>
          <w:lang w:val="en-US" w:eastAsia="zh-CN"/>
        </w:rPr>
        <w:t>产出成本指标权重10分，本次绩效评价实际得6.68分。</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（四）项目效益情况</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（1）经济效益（7分）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a.知识产权奖励项目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无形资产增加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全市发明专利量同比有增长</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1）发明专利授权量计划同比增长</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年度发明专利授权量</w:t>
      </w:r>
      <w:r>
        <w:rPr>
          <w:rFonts w:hint="eastAsia" w:ascii="仿宋" w:hAnsi="仿宋" w:eastAsia="仿宋" w:cs="仿宋"/>
          <w:color w:val="auto"/>
          <w:sz w:val="32"/>
          <w:szCs w:val="32"/>
          <w:highlight w:val="none"/>
          <w:lang w:val="en-US" w:eastAsia="zh-CN"/>
        </w:rPr>
        <w:t>1675</w:t>
      </w:r>
      <w:r>
        <w:rPr>
          <w:rFonts w:hint="eastAsia" w:ascii="仿宋" w:hAnsi="仿宋" w:eastAsia="仿宋" w:cs="仿宋"/>
          <w:color w:val="auto"/>
          <w:sz w:val="32"/>
          <w:szCs w:val="32"/>
          <w:highlight w:val="none"/>
        </w:rPr>
        <w:t>件，同比增长</w:t>
      </w:r>
      <w:r>
        <w:rPr>
          <w:rFonts w:hint="eastAsia" w:ascii="仿宋" w:hAnsi="仿宋" w:eastAsia="仿宋" w:cs="仿宋"/>
          <w:color w:val="auto"/>
          <w:sz w:val="32"/>
          <w:szCs w:val="32"/>
          <w:highlight w:val="none"/>
          <w:lang w:val="en-US" w:eastAsia="zh-CN"/>
        </w:rPr>
        <w:t>37</w:t>
      </w:r>
      <w:r>
        <w:rPr>
          <w:rFonts w:hint="eastAsia" w:ascii="仿宋" w:hAnsi="仿宋" w:eastAsia="仿宋" w:cs="仿宋"/>
          <w:color w:val="auto"/>
          <w:sz w:val="32"/>
          <w:szCs w:val="32"/>
          <w:highlight w:val="none"/>
        </w:rPr>
        <w:t>%，</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2）万人有效发明专利拥有量计划同比增长15%，每万人有效发明专利拥有量1</w:t>
      </w:r>
      <w:r>
        <w:rPr>
          <w:rFonts w:hint="eastAsia" w:ascii="仿宋_GB2312" w:hAnsi="仿宋_GB2312" w:eastAsia="仿宋_GB2312" w:cs="仿宋_GB2312"/>
          <w:sz w:val="32"/>
          <w:szCs w:val="32"/>
          <w:highlight w:val="none"/>
          <w:lang w:val="en-US" w:eastAsia="zh-CN"/>
        </w:rPr>
        <w:t>2.47</w:t>
      </w:r>
      <w:r>
        <w:rPr>
          <w:rFonts w:hint="eastAsia" w:ascii="仿宋_GB2312" w:hAnsi="仿宋_GB2312" w:eastAsia="仿宋_GB2312" w:cs="仿宋_GB2312"/>
          <w:sz w:val="32"/>
          <w:szCs w:val="32"/>
          <w:highlight w:val="none"/>
        </w:rPr>
        <w:t>件，同比增长15.</w:t>
      </w:r>
      <w:r>
        <w:rPr>
          <w:rFonts w:hint="eastAsia" w:ascii="仿宋_GB2312" w:hAnsi="仿宋_GB2312" w:eastAsia="仿宋_GB2312" w:cs="仿宋_GB2312"/>
          <w:sz w:val="32"/>
          <w:szCs w:val="32"/>
          <w:highlight w:val="none"/>
          <w:lang w:val="en-US" w:eastAsia="zh-CN"/>
        </w:rPr>
        <w:t>63</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3）按计划全市共</w:t>
      </w:r>
      <w:r>
        <w:rPr>
          <w:rFonts w:hint="eastAsia" w:ascii="仿宋_GB2312" w:hAnsi="仿宋_GB2312" w:eastAsia="仿宋_GB2312" w:cs="仿宋_GB2312"/>
          <w:sz w:val="32"/>
          <w:szCs w:val="32"/>
          <w:highlight w:val="none"/>
          <w:lang w:val="en-US" w:eastAsia="zh-CN"/>
        </w:rPr>
        <w:t>培育5</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val="en-US" w:eastAsia="zh-CN"/>
        </w:rPr>
        <w:t>南昌市</w:t>
      </w:r>
      <w:r>
        <w:rPr>
          <w:rFonts w:hint="eastAsia" w:ascii="仿宋_GB2312" w:hAnsi="仿宋_GB2312" w:eastAsia="仿宋_GB2312" w:cs="仿宋_GB2312"/>
          <w:sz w:val="32"/>
          <w:szCs w:val="32"/>
          <w:highlight w:val="none"/>
        </w:rPr>
        <w:t>知识产权示范企业”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南昌市</w:t>
      </w:r>
      <w:r>
        <w:rPr>
          <w:rFonts w:hint="eastAsia" w:ascii="仿宋_GB2312" w:hAnsi="仿宋_GB2312" w:eastAsia="仿宋_GB2312" w:cs="仿宋_GB2312"/>
          <w:sz w:val="32"/>
          <w:szCs w:val="32"/>
          <w:highlight w:val="none"/>
        </w:rPr>
        <w:t>知识产权</w:t>
      </w:r>
      <w:r>
        <w:rPr>
          <w:rFonts w:hint="eastAsia" w:ascii="仿宋_GB2312" w:hAnsi="仿宋_GB2312" w:eastAsia="仿宋_GB2312" w:cs="仿宋_GB2312"/>
          <w:sz w:val="32"/>
          <w:szCs w:val="32"/>
          <w:highlight w:val="none"/>
          <w:lang w:val="en-US" w:eastAsia="zh-CN"/>
        </w:rPr>
        <w:t>优势</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计划5家，</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知识产权奖励项目经济效益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3.35</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b.知识产权补助项目</w:t>
      </w:r>
    </w:p>
    <w:p>
      <w:pPr>
        <w:spacing w:line="560" w:lineRule="exact"/>
        <w:ind w:firstLine="640" w:firstLineChars="200"/>
        <w:rPr>
          <w:rFonts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培育</w:t>
      </w:r>
      <w:r>
        <w:rPr>
          <w:rFonts w:hint="eastAsia" w:ascii="仿宋_GB2312" w:hAnsi="仿宋_GB2312" w:eastAsia="仿宋_GB2312" w:cs="仿宋_GB2312"/>
          <w:sz w:val="32"/>
          <w:szCs w:val="32"/>
          <w:highlight w:val="none"/>
        </w:rPr>
        <w:t>贯标论证的企业有</w:t>
      </w:r>
      <w:r>
        <w:rPr>
          <w:rFonts w:hint="eastAsia" w:ascii="仿宋_GB2312" w:hAnsi="仿宋_GB2312" w:eastAsia="仿宋_GB2312" w:cs="仿宋_GB2312"/>
          <w:sz w:val="32"/>
          <w:szCs w:val="32"/>
          <w:highlight w:val="none"/>
          <w:lang w:val="en-US" w:eastAsia="zh-CN"/>
        </w:rPr>
        <w:t>37</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val="en-US" w:eastAsia="zh-CN"/>
        </w:rPr>
        <w:t>计划10家</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帮助中小企业解决融资难问题:帮助</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家以上企业</w:t>
      </w:r>
      <w:r>
        <w:rPr>
          <w:rFonts w:hint="eastAsia" w:ascii="仿宋_GB2312" w:hAnsi="仿宋_GB2312" w:eastAsia="仿宋_GB2312" w:cs="仿宋_GB2312"/>
          <w:sz w:val="32"/>
          <w:szCs w:val="32"/>
          <w:highlight w:val="none"/>
          <w:lang w:val="en-US" w:eastAsia="zh-CN"/>
        </w:rPr>
        <w:t>缓解</w:t>
      </w:r>
      <w:r>
        <w:rPr>
          <w:rFonts w:hint="eastAsia" w:ascii="仿宋_GB2312" w:hAnsi="仿宋_GB2312" w:eastAsia="仿宋_GB2312" w:cs="仿宋_GB2312"/>
          <w:sz w:val="32"/>
          <w:szCs w:val="32"/>
          <w:highlight w:val="none"/>
        </w:rPr>
        <w:t>融资难问题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计划6家</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知识产权补助项目</w:t>
      </w:r>
      <w:r>
        <w:rPr>
          <w:rFonts w:hint="eastAsia" w:ascii="仿宋_GB2312" w:hAnsi="仿宋_GB2312" w:eastAsia="仿宋_GB2312" w:cs="仿宋_GB2312"/>
          <w:sz w:val="32"/>
          <w:szCs w:val="32"/>
          <w:highlight w:val="none"/>
        </w:rPr>
        <w:t>经济效益指标</w:t>
      </w:r>
      <w:r>
        <w:rPr>
          <w:rFonts w:hint="eastAsia" w:ascii="仿宋_GB2312" w:hAnsi="仿宋_GB2312" w:eastAsia="仿宋_GB2312" w:cs="仿宋_GB2312"/>
          <w:sz w:val="32"/>
          <w:szCs w:val="32"/>
          <w:highlight w:val="none"/>
          <w:lang w:val="en-US" w:eastAsia="zh-CN"/>
        </w:rPr>
        <w:t>权重</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本次绩效评价实际得分为7分。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2.04</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c.知识产权维权援助项目</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获知识产权维权援助（资金、智力）数量较去年提高：计划智力援助案件增加</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以上，实际增加</w:t>
      </w:r>
      <w:r>
        <w:rPr>
          <w:rFonts w:hint="eastAsia" w:ascii="仿宋_GB2312" w:hAnsi="仿宋_GB2312" w:eastAsia="仿宋_GB2312" w:cs="仿宋_GB2312"/>
          <w:sz w:val="32"/>
          <w:szCs w:val="32"/>
          <w:highlight w:val="none"/>
          <w:lang w:val="en-US" w:eastAsia="zh-CN"/>
        </w:rPr>
        <w:t>20%以上，</w:t>
      </w:r>
      <w:r>
        <w:rPr>
          <w:rFonts w:hint="eastAsia" w:ascii="仿宋_GB2312" w:hAnsi="仿宋_GB2312" w:eastAsia="仿宋_GB2312" w:cs="仿宋_GB2312"/>
          <w:sz w:val="32"/>
          <w:szCs w:val="32"/>
          <w:highlight w:val="none"/>
          <w:lang w:eastAsia="zh-CN"/>
        </w:rPr>
        <w:t>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分。</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知识产权维权援助项目经济效益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0.15</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d.知识产权保护中心运行经费项目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val="0"/>
          <w:bCs/>
          <w:sz w:val="32"/>
          <w:szCs w:val="32"/>
          <w:highlight w:val="none"/>
        </w:rPr>
        <w:t>产业创</w:t>
      </w:r>
      <w:r>
        <w:rPr>
          <w:rFonts w:hint="eastAsia" w:ascii="仿宋_GB2312" w:hAnsi="仿宋_GB2312" w:eastAsia="仿宋_GB2312" w:cs="仿宋_GB2312"/>
          <w:sz w:val="32"/>
          <w:szCs w:val="32"/>
          <w:highlight w:val="none"/>
        </w:rPr>
        <w:t>新发展、转型升级贡献率：项目的实施对产业创新发展、转型升级作用提供有力支撑。快速授权直接带来快速转化运用，能帮助企业有底气地迅速占领市场，是知识产权助力高质量</w:t>
      </w:r>
      <w:r>
        <w:rPr>
          <w:rFonts w:hint="eastAsia" w:ascii="仿宋_GB2312" w:hAnsi="仿宋_GB2312" w:eastAsia="仿宋_GB2312" w:cs="仿宋_GB2312"/>
          <w:b w:val="0"/>
          <w:bCs/>
          <w:sz w:val="32"/>
          <w:szCs w:val="32"/>
          <w:highlight w:val="none"/>
        </w:rPr>
        <w:t>发展的关键。快速授权的专利可助力企业快速占领市场，制约竞争对手，保障企业自主知识产权的增值收益。通过调研，已获得快速授权的专利中</w:t>
      </w:r>
      <w:r>
        <w:rPr>
          <w:rFonts w:hint="eastAsia" w:ascii="仿宋_GB2312" w:hAnsi="仿宋_GB2312" w:eastAsia="仿宋_GB2312" w:cs="仿宋_GB2312"/>
          <w:b w:val="0"/>
          <w:bCs/>
          <w:sz w:val="32"/>
          <w:szCs w:val="32"/>
          <w:highlight w:val="none"/>
          <w:lang w:val="en-US" w:eastAsia="zh-CN"/>
        </w:rPr>
        <w:t>4</w:t>
      </w:r>
      <w:r>
        <w:rPr>
          <w:rFonts w:hint="eastAsia" w:ascii="仿宋_GB2312" w:hAnsi="仿宋_GB2312" w:eastAsia="仿宋_GB2312" w:cs="仿宋_GB2312"/>
          <w:b w:val="0"/>
          <w:bCs/>
          <w:sz w:val="32"/>
          <w:szCs w:val="32"/>
          <w:highlight w:val="none"/>
        </w:rPr>
        <w:t>0余项代表性专利，企业销售额增加值</w:t>
      </w:r>
      <w:r>
        <w:rPr>
          <w:rFonts w:hint="eastAsia" w:ascii="仿宋_GB2312" w:hAnsi="仿宋_GB2312" w:eastAsia="仿宋_GB2312" w:cs="仿宋_GB2312"/>
          <w:b w:val="0"/>
          <w:bCs/>
          <w:sz w:val="32"/>
          <w:szCs w:val="32"/>
          <w:highlight w:val="none"/>
          <w:lang w:val="en-US" w:eastAsia="zh-CN"/>
        </w:rPr>
        <w:t>45</w:t>
      </w:r>
      <w:r>
        <w:rPr>
          <w:rFonts w:hint="eastAsia" w:ascii="仿宋_GB2312" w:hAnsi="仿宋_GB2312" w:eastAsia="仿宋_GB2312" w:cs="仿宋_GB2312"/>
          <w:b w:val="0"/>
          <w:bCs/>
          <w:sz w:val="32"/>
          <w:szCs w:val="32"/>
          <w:highlight w:val="none"/>
        </w:rPr>
        <w:t>亿元左右</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同时，在实现招商引资方面也发挥了显著作用</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通过调研</w:t>
      </w:r>
      <w:r>
        <w:rPr>
          <w:rFonts w:hint="eastAsia" w:ascii="仿宋_GB2312" w:hAnsi="仿宋_GB2312" w:eastAsia="仿宋_GB2312" w:cs="仿宋_GB2312"/>
          <w:b w:val="0"/>
          <w:bCs/>
          <w:sz w:val="32"/>
          <w:szCs w:val="32"/>
          <w:highlight w:val="none"/>
          <w:lang w:val="en-US" w:eastAsia="zh-CN"/>
        </w:rPr>
        <w:t>，已从外地落户南昌的企业有江西景德中药股份公司南昌分公司、江西鼎峰智能装备有限公司、江西影创信息产业有限公司、江西亿森遨游医药科技有限公司、江西厚朴贯众科技有限公司、南昌甘藏健康科技有限公司等，得7分</w:t>
      </w:r>
      <w:r>
        <w:rPr>
          <w:rFonts w:hint="eastAsia" w:ascii="仿宋_GB2312" w:hAnsi="仿宋_GB2312" w:eastAsia="仿宋_GB2312" w:cs="仿宋_GB2312"/>
          <w:b w:val="0"/>
          <w:bCs/>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知识产权保护中心运行经费项目经济效益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1.26</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e.知识产权管理费项目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无形资产增加：</w:t>
      </w:r>
      <w:r>
        <w:rPr>
          <w:rFonts w:hint="eastAsia" w:ascii="仿宋_GB2312" w:hAnsi="仿宋_GB2312" w:eastAsia="仿宋_GB2312" w:cs="仿宋_GB2312"/>
          <w:sz w:val="32"/>
          <w:szCs w:val="32"/>
          <w:highlight w:val="none"/>
          <w:lang w:val="en-US" w:eastAsia="zh-CN"/>
        </w:rPr>
        <w:t>我市</w:t>
      </w:r>
      <w:r>
        <w:rPr>
          <w:rFonts w:hint="eastAsia" w:ascii="仿宋_GB2312" w:hAnsi="仿宋_GB2312" w:eastAsia="仿宋_GB2312" w:cs="仿宋_GB2312"/>
          <w:sz w:val="32"/>
          <w:szCs w:val="32"/>
          <w:highlight w:val="none"/>
        </w:rPr>
        <w:t>发明专利授权量计划同比增长</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年度发明专利授权量</w:t>
      </w:r>
      <w:r>
        <w:rPr>
          <w:rFonts w:hint="eastAsia" w:ascii="仿宋" w:hAnsi="仿宋" w:eastAsia="仿宋" w:cs="仿宋"/>
          <w:color w:val="auto"/>
          <w:sz w:val="32"/>
          <w:szCs w:val="32"/>
          <w:highlight w:val="none"/>
          <w:lang w:val="en-US" w:eastAsia="zh-CN"/>
        </w:rPr>
        <w:t>1675</w:t>
      </w:r>
      <w:r>
        <w:rPr>
          <w:rFonts w:hint="eastAsia" w:ascii="仿宋" w:hAnsi="仿宋" w:eastAsia="仿宋" w:cs="仿宋"/>
          <w:color w:val="auto"/>
          <w:sz w:val="32"/>
          <w:szCs w:val="32"/>
          <w:highlight w:val="none"/>
        </w:rPr>
        <w:t>件，同比增长</w:t>
      </w:r>
      <w:r>
        <w:rPr>
          <w:rFonts w:hint="eastAsia" w:ascii="仿宋" w:hAnsi="仿宋" w:eastAsia="仿宋" w:cs="仿宋"/>
          <w:color w:val="auto"/>
          <w:sz w:val="32"/>
          <w:szCs w:val="32"/>
          <w:highlight w:val="none"/>
          <w:lang w:val="en-US" w:eastAsia="zh-CN"/>
        </w:rPr>
        <w:t>37</w:t>
      </w:r>
      <w:r>
        <w:rPr>
          <w:rFonts w:hint="eastAsia" w:ascii="仿宋" w:hAnsi="仿宋" w:eastAsia="仿宋" w:cs="仿宋"/>
          <w:color w:val="auto"/>
          <w:sz w:val="32"/>
          <w:szCs w:val="32"/>
          <w:highlight w:val="none"/>
        </w:rPr>
        <w:t>%，</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知识产权管理费项目经济效益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0.2</w:t>
      </w:r>
      <w:r>
        <w:rPr>
          <w:rFonts w:hint="eastAsia" w:ascii="仿宋_GB2312" w:hAnsi="仿宋_GB2312" w:eastAsia="仿宋_GB2312" w:cs="仿宋_GB2312"/>
          <w:color w:val="0000FF"/>
          <w:sz w:val="32"/>
          <w:szCs w:val="32"/>
          <w:highlight w:val="none"/>
        </w:rPr>
        <w:t>分。</w:t>
      </w:r>
    </w:p>
    <w:p>
      <w:pPr>
        <w:spacing w:line="560" w:lineRule="exact"/>
        <w:ind w:firstLine="643" w:firstLineChars="200"/>
        <w:rPr>
          <w:rFonts w:hint="default" w:ascii="仿宋_GB2312" w:hAnsi="仿宋_GB2312" w:eastAsia="仿宋_GB2312" w:cs="仿宋_GB2312"/>
          <w:b/>
          <w:bCs/>
          <w:color w:val="0000FF"/>
          <w:sz w:val="32"/>
          <w:szCs w:val="32"/>
          <w:highlight w:val="none"/>
          <w:lang w:val="en-US" w:eastAsia="zh-CN"/>
        </w:rPr>
      </w:pPr>
      <w:r>
        <w:rPr>
          <w:rFonts w:hint="eastAsia" w:ascii="仿宋_GB2312" w:hAnsi="仿宋_GB2312" w:eastAsia="仿宋_GB2312" w:cs="仿宋_GB2312"/>
          <w:b/>
          <w:bCs/>
          <w:color w:val="0000FF"/>
          <w:sz w:val="32"/>
          <w:szCs w:val="32"/>
          <w:highlight w:val="none"/>
          <w:lang w:val="en-US" w:eastAsia="zh-CN"/>
        </w:rPr>
        <w:t>经济效益指标权重7分，本次绩效评价实际得7分。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2、社会效益指标得分情况</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a.知识产权奖励项目</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促进企业技术创新:通过实施知识产权企业贯标认证、优势示范企业、专利奖等项目，企业知识产权管理制度得到进一步完善</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发明专利</w:t>
      </w:r>
      <w:r>
        <w:rPr>
          <w:rFonts w:hint="eastAsia" w:ascii="仿宋_GB2312" w:hAnsi="仿宋_GB2312" w:eastAsia="仿宋_GB2312" w:cs="仿宋_GB2312"/>
          <w:sz w:val="32"/>
          <w:szCs w:val="32"/>
          <w:highlight w:val="none"/>
          <w:lang w:val="en-US" w:eastAsia="zh-CN"/>
        </w:rPr>
        <w:t>申请</w:t>
      </w:r>
      <w:r>
        <w:rPr>
          <w:rFonts w:hint="eastAsia" w:ascii="仿宋_GB2312" w:hAnsi="仿宋_GB2312" w:eastAsia="仿宋_GB2312" w:cs="仿宋_GB2312"/>
          <w:sz w:val="32"/>
          <w:szCs w:val="32"/>
          <w:highlight w:val="none"/>
        </w:rPr>
        <w:t>量计划同比增长</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w:t>
      </w:r>
      <w:r>
        <w:rPr>
          <w:rFonts w:hint="eastAsia" w:ascii="仿宋" w:hAnsi="仿宋" w:eastAsia="仿宋" w:cs="仿宋"/>
          <w:color w:val="auto"/>
          <w:sz w:val="32"/>
          <w:szCs w:val="32"/>
          <w:highlight w:val="none"/>
        </w:rPr>
        <w:t>发明专利</w:t>
      </w:r>
      <w:r>
        <w:rPr>
          <w:rFonts w:hint="eastAsia" w:ascii="仿宋" w:hAnsi="仿宋" w:eastAsia="仿宋" w:cs="仿宋"/>
          <w:color w:val="auto"/>
          <w:sz w:val="32"/>
          <w:szCs w:val="32"/>
          <w:highlight w:val="none"/>
          <w:lang w:val="en-US" w:eastAsia="zh-CN"/>
        </w:rPr>
        <w:t>申请量8533</w:t>
      </w:r>
      <w:r>
        <w:rPr>
          <w:rFonts w:hint="eastAsia" w:ascii="仿宋" w:hAnsi="仿宋" w:eastAsia="仿宋" w:cs="仿宋"/>
          <w:color w:val="auto"/>
          <w:sz w:val="32"/>
          <w:szCs w:val="32"/>
          <w:highlight w:val="none"/>
        </w:rPr>
        <w:t>件，同比增长</w:t>
      </w:r>
      <w:r>
        <w:rPr>
          <w:rFonts w:hint="eastAsia" w:ascii="仿宋" w:hAnsi="仿宋" w:eastAsia="仿宋" w:cs="仿宋"/>
          <w:color w:val="auto"/>
          <w:sz w:val="32"/>
          <w:szCs w:val="32"/>
          <w:highlight w:val="none"/>
          <w:lang w:val="en-US" w:eastAsia="zh-CN"/>
        </w:rPr>
        <w:t>56.4</w:t>
      </w:r>
      <w:r>
        <w:rPr>
          <w:rFonts w:hint="eastAsia" w:ascii="仿宋" w:hAnsi="仿宋" w:eastAsia="仿宋" w:cs="仿宋"/>
          <w:color w:val="auto"/>
          <w:sz w:val="32"/>
          <w:szCs w:val="32"/>
          <w:highlight w:val="none"/>
        </w:rPr>
        <w:t>%，</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分。</w:t>
      </w:r>
    </w:p>
    <w:p>
      <w:pPr>
        <w:numPr>
          <w:ilvl w:val="0"/>
          <w:numId w:val="7"/>
        </w:num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万人有效发明专利拥有量计划同比增长15%，每万人有效发明专利拥有量1</w:t>
      </w:r>
      <w:r>
        <w:rPr>
          <w:rFonts w:hint="eastAsia" w:ascii="仿宋_GB2312" w:hAnsi="仿宋_GB2312" w:eastAsia="仿宋_GB2312" w:cs="仿宋_GB2312"/>
          <w:sz w:val="32"/>
          <w:szCs w:val="32"/>
          <w:highlight w:val="none"/>
          <w:lang w:val="en-US" w:eastAsia="zh-CN"/>
        </w:rPr>
        <w:t>2.47</w:t>
      </w:r>
      <w:r>
        <w:rPr>
          <w:rFonts w:hint="eastAsia" w:ascii="仿宋_GB2312" w:hAnsi="仿宋_GB2312" w:eastAsia="仿宋_GB2312" w:cs="仿宋_GB2312"/>
          <w:sz w:val="32"/>
          <w:szCs w:val="32"/>
          <w:highlight w:val="none"/>
        </w:rPr>
        <w:t>件，同比增长15.</w:t>
      </w:r>
      <w:r>
        <w:rPr>
          <w:rFonts w:hint="eastAsia" w:ascii="仿宋_GB2312" w:hAnsi="仿宋_GB2312" w:eastAsia="仿宋_GB2312" w:cs="仿宋_GB2312"/>
          <w:sz w:val="32"/>
          <w:szCs w:val="32"/>
          <w:highlight w:val="none"/>
          <w:lang w:val="en-US" w:eastAsia="zh-CN"/>
        </w:rPr>
        <w:t>63</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）发明专利授权量计划同比增长</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年度发明专利授权量</w:t>
      </w:r>
      <w:r>
        <w:rPr>
          <w:rFonts w:hint="eastAsia" w:ascii="仿宋" w:hAnsi="仿宋" w:eastAsia="仿宋" w:cs="仿宋"/>
          <w:color w:val="auto"/>
          <w:sz w:val="32"/>
          <w:szCs w:val="32"/>
          <w:highlight w:val="none"/>
          <w:lang w:val="en-US" w:eastAsia="zh-CN"/>
        </w:rPr>
        <w:t>1675</w:t>
      </w:r>
      <w:r>
        <w:rPr>
          <w:rFonts w:hint="eastAsia" w:ascii="仿宋" w:hAnsi="仿宋" w:eastAsia="仿宋" w:cs="仿宋"/>
          <w:color w:val="auto"/>
          <w:sz w:val="32"/>
          <w:szCs w:val="32"/>
          <w:highlight w:val="none"/>
        </w:rPr>
        <w:t>件，同比增长</w:t>
      </w:r>
      <w:r>
        <w:rPr>
          <w:rFonts w:hint="eastAsia" w:ascii="仿宋" w:hAnsi="仿宋" w:eastAsia="仿宋" w:cs="仿宋"/>
          <w:color w:val="auto"/>
          <w:sz w:val="32"/>
          <w:szCs w:val="32"/>
          <w:highlight w:val="none"/>
          <w:lang w:val="en-US" w:eastAsia="zh-CN"/>
        </w:rPr>
        <w:t>37</w:t>
      </w:r>
      <w:r>
        <w:rPr>
          <w:rFonts w:hint="eastAsia" w:ascii="仿宋" w:hAnsi="仿宋" w:eastAsia="仿宋" w:cs="仿宋"/>
          <w:color w:val="auto"/>
          <w:sz w:val="32"/>
          <w:szCs w:val="32"/>
          <w:highlight w:val="none"/>
        </w:rPr>
        <w:t>%，</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知识产权奖励项目社会效益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3.35</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b.知识产权补助项目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促进企业提高专利转化率，增强核心竞争力:发明专利</w:t>
      </w:r>
      <w:r>
        <w:rPr>
          <w:rFonts w:hint="eastAsia" w:ascii="仿宋_GB2312" w:hAnsi="仿宋_GB2312" w:eastAsia="仿宋_GB2312" w:cs="仿宋_GB2312"/>
          <w:sz w:val="32"/>
          <w:szCs w:val="32"/>
          <w:highlight w:val="none"/>
          <w:lang w:val="en-US" w:eastAsia="zh-CN"/>
        </w:rPr>
        <w:t>申请</w:t>
      </w:r>
      <w:r>
        <w:rPr>
          <w:rFonts w:hint="eastAsia" w:ascii="仿宋_GB2312" w:hAnsi="仿宋_GB2312" w:eastAsia="仿宋_GB2312" w:cs="仿宋_GB2312"/>
          <w:sz w:val="32"/>
          <w:szCs w:val="32"/>
          <w:highlight w:val="none"/>
        </w:rPr>
        <w:t>量计划同比增长</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w:t>
      </w:r>
      <w:r>
        <w:rPr>
          <w:rFonts w:hint="eastAsia" w:ascii="仿宋" w:hAnsi="仿宋" w:eastAsia="仿宋" w:cs="仿宋"/>
          <w:color w:val="auto"/>
          <w:sz w:val="32"/>
          <w:szCs w:val="32"/>
          <w:highlight w:val="none"/>
        </w:rPr>
        <w:t>发明专利</w:t>
      </w:r>
      <w:r>
        <w:rPr>
          <w:rFonts w:hint="eastAsia" w:ascii="仿宋" w:hAnsi="仿宋" w:eastAsia="仿宋" w:cs="仿宋"/>
          <w:color w:val="auto"/>
          <w:sz w:val="32"/>
          <w:szCs w:val="32"/>
          <w:highlight w:val="none"/>
          <w:lang w:val="en-US" w:eastAsia="zh-CN"/>
        </w:rPr>
        <w:t>申请量8533</w:t>
      </w:r>
      <w:r>
        <w:rPr>
          <w:rFonts w:hint="eastAsia" w:ascii="仿宋" w:hAnsi="仿宋" w:eastAsia="仿宋" w:cs="仿宋"/>
          <w:color w:val="auto"/>
          <w:sz w:val="32"/>
          <w:szCs w:val="32"/>
          <w:highlight w:val="none"/>
        </w:rPr>
        <w:t>件，同比增长</w:t>
      </w:r>
      <w:r>
        <w:rPr>
          <w:rFonts w:hint="eastAsia" w:ascii="仿宋" w:hAnsi="仿宋" w:eastAsia="仿宋" w:cs="仿宋"/>
          <w:color w:val="auto"/>
          <w:sz w:val="32"/>
          <w:szCs w:val="32"/>
          <w:highlight w:val="none"/>
          <w:lang w:val="en-US" w:eastAsia="zh-CN"/>
        </w:rPr>
        <w:t>56.4</w:t>
      </w:r>
      <w:r>
        <w:rPr>
          <w:rFonts w:hint="eastAsia" w:ascii="仿宋" w:hAnsi="仿宋" w:eastAsia="仿宋" w:cs="仿宋"/>
          <w:color w:val="auto"/>
          <w:sz w:val="32"/>
          <w:szCs w:val="32"/>
          <w:highlight w:val="none"/>
        </w:rPr>
        <w:t>%，</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2）万人有效发明专利拥有量计划同比增长15%，每万人有效发明专利拥有量1</w:t>
      </w:r>
      <w:r>
        <w:rPr>
          <w:rFonts w:hint="eastAsia" w:ascii="仿宋_GB2312" w:hAnsi="仿宋_GB2312" w:eastAsia="仿宋_GB2312" w:cs="仿宋_GB2312"/>
          <w:sz w:val="32"/>
          <w:szCs w:val="32"/>
          <w:highlight w:val="none"/>
          <w:lang w:val="en-US" w:eastAsia="zh-CN"/>
        </w:rPr>
        <w:t>2.47</w:t>
      </w:r>
      <w:r>
        <w:rPr>
          <w:rFonts w:hint="eastAsia" w:ascii="仿宋_GB2312" w:hAnsi="仿宋_GB2312" w:eastAsia="仿宋_GB2312" w:cs="仿宋_GB2312"/>
          <w:sz w:val="32"/>
          <w:szCs w:val="32"/>
          <w:highlight w:val="none"/>
        </w:rPr>
        <w:t>件，同比增长15.</w:t>
      </w:r>
      <w:r>
        <w:rPr>
          <w:rFonts w:hint="eastAsia" w:ascii="仿宋_GB2312" w:hAnsi="仿宋_GB2312" w:eastAsia="仿宋_GB2312" w:cs="仿宋_GB2312"/>
          <w:sz w:val="32"/>
          <w:szCs w:val="32"/>
          <w:highlight w:val="none"/>
          <w:lang w:val="en-US" w:eastAsia="zh-CN"/>
        </w:rPr>
        <w:t>63</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知识产权补助项目社会效益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2.04</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c.知识产权维权援助项目</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提高知识产权维权援助知晓率</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获知识产权维权援助（资金、智力）数量较去年提高：计划智力援助案件增加</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以上，实际增加</w:t>
      </w:r>
      <w:r>
        <w:rPr>
          <w:rFonts w:hint="eastAsia" w:ascii="仿宋_GB2312" w:hAnsi="仿宋_GB2312" w:eastAsia="仿宋_GB2312" w:cs="仿宋_GB2312"/>
          <w:sz w:val="32"/>
          <w:szCs w:val="32"/>
          <w:lang w:val="en-US" w:eastAsia="zh-CN"/>
        </w:rPr>
        <w:t>20%以上</w:t>
      </w:r>
      <w:r>
        <w:rPr>
          <w:rFonts w:hint="eastAsia" w:ascii="仿宋_GB2312" w:hAnsi="仿宋_GB2312" w:eastAsia="仿宋_GB2312" w:cs="仿宋_GB2312"/>
          <w:sz w:val="32"/>
          <w:szCs w:val="32"/>
          <w:highlight w:val="none"/>
          <w:lang w:val="en-US" w:eastAsia="zh-CN"/>
        </w:rPr>
        <w:t>。得7分。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知识产权维权援助项目社会效益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0.15</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d.知识产权保护中心运行经费项目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提升产业知识产权保护贡献率：全面提升产业知识产权保护力度、效率和水平。</w:t>
      </w:r>
      <w:r>
        <w:rPr>
          <w:rFonts w:hint="eastAsia" w:ascii="仿宋_GB2312" w:hAnsi="仿宋_GB2312" w:eastAsia="仿宋_GB2312" w:cs="仿宋_GB2312"/>
          <w:sz w:val="32"/>
          <w:szCs w:val="32"/>
          <w:highlight w:val="none"/>
          <w:lang w:eastAsia="zh-CN"/>
        </w:rPr>
        <w:t>南昌保护中心</w:t>
      </w:r>
      <w:r>
        <w:rPr>
          <w:rFonts w:hint="eastAsia" w:ascii="仿宋_GB2312" w:hAnsi="仿宋_GB2312" w:eastAsia="仿宋_GB2312" w:cs="仿宋_GB2312"/>
          <w:color w:val="auto"/>
          <w:sz w:val="32"/>
          <w:szCs w:val="32"/>
          <w:highlight w:val="none"/>
        </w:rPr>
        <w:t>入册备案服务企业</w:t>
      </w:r>
      <w:r>
        <w:rPr>
          <w:rFonts w:hint="eastAsia" w:ascii="仿宋_GB2312" w:hAnsi="仿宋_GB2312" w:eastAsia="仿宋_GB2312" w:cs="仿宋_GB2312"/>
          <w:color w:val="auto"/>
          <w:sz w:val="32"/>
          <w:szCs w:val="32"/>
          <w:highlight w:val="none"/>
          <w:lang w:val="en-US" w:eastAsia="zh-CN"/>
        </w:rPr>
        <w:t>759</w:t>
      </w:r>
      <w:r>
        <w:rPr>
          <w:rFonts w:hint="eastAsia" w:ascii="仿宋_GB2312" w:hAnsi="仿宋_GB2312" w:eastAsia="仿宋_GB2312" w:cs="仿宋_GB2312"/>
          <w:color w:val="auto"/>
          <w:sz w:val="32"/>
          <w:szCs w:val="32"/>
          <w:highlight w:val="none"/>
        </w:rPr>
        <w:t>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企业向</w:t>
      </w:r>
      <w:r>
        <w:rPr>
          <w:rFonts w:hint="eastAsia" w:ascii="仿宋_GB2312" w:hAnsi="仿宋_GB2312" w:eastAsia="仿宋_GB2312" w:cs="仿宋_GB2312"/>
          <w:sz w:val="32"/>
          <w:szCs w:val="32"/>
          <w:highlight w:val="none"/>
          <w:lang w:eastAsia="zh-CN"/>
        </w:rPr>
        <w:t>南昌</w:t>
      </w:r>
      <w:r>
        <w:rPr>
          <w:rFonts w:hint="eastAsia" w:ascii="仿宋_GB2312" w:hAnsi="仿宋_GB2312" w:eastAsia="仿宋_GB2312" w:cs="仿宋_GB2312"/>
          <w:sz w:val="32"/>
          <w:szCs w:val="32"/>
          <w:highlight w:val="none"/>
        </w:rPr>
        <w:t>保护中心快速通道提交专利申请</w:t>
      </w:r>
      <w:r>
        <w:rPr>
          <w:rFonts w:hint="eastAsia" w:ascii="仿宋_GB2312" w:hAnsi="仿宋_GB2312" w:eastAsia="仿宋_GB2312" w:cs="仿宋_GB2312"/>
          <w:sz w:val="32"/>
          <w:szCs w:val="32"/>
          <w:highlight w:val="none"/>
          <w:lang w:val="en-US" w:eastAsia="zh-CN"/>
        </w:rPr>
        <w:t>1055</w:t>
      </w:r>
      <w:r>
        <w:rPr>
          <w:rFonts w:hint="eastAsia" w:ascii="仿宋_GB2312" w:hAnsi="仿宋_GB2312" w:eastAsia="仿宋_GB2312" w:cs="仿宋_GB2312"/>
          <w:sz w:val="32"/>
          <w:szCs w:val="32"/>
          <w:highlight w:val="none"/>
        </w:rPr>
        <w:t>件，授权量达</w:t>
      </w:r>
      <w:r>
        <w:rPr>
          <w:rFonts w:hint="eastAsia" w:ascii="仿宋_GB2312" w:hAnsi="仿宋_GB2312" w:eastAsia="仿宋_GB2312" w:cs="仿宋_GB2312"/>
          <w:sz w:val="32"/>
          <w:szCs w:val="32"/>
          <w:highlight w:val="none"/>
          <w:lang w:val="en-US" w:eastAsia="zh-CN"/>
        </w:rPr>
        <w:t>483</w:t>
      </w:r>
      <w:r>
        <w:rPr>
          <w:rFonts w:hint="eastAsia" w:ascii="仿宋_GB2312" w:hAnsi="仿宋_GB2312" w:eastAsia="仿宋_GB2312" w:cs="仿宋_GB2312"/>
          <w:sz w:val="32"/>
          <w:szCs w:val="32"/>
          <w:highlight w:val="none"/>
        </w:rPr>
        <w:t>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接收量是2019年全年的3倍多，授权量是2019年全年的5倍多</w:t>
      </w:r>
      <w:r>
        <w:rPr>
          <w:rFonts w:hint="eastAsia" w:ascii="仿宋_GB2312" w:hAnsi="仿宋_GB2312" w:eastAsia="仿宋_GB2312" w:cs="仿宋_GB2312"/>
          <w:sz w:val="32"/>
          <w:szCs w:val="32"/>
          <w:highlight w:val="none"/>
        </w:rPr>
        <w:t>。同时，</w:t>
      </w:r>
      <w:r>
        <w:rPr>
          <w:rFonts w:hint="eastAsia" w:ascii="仿宋_GB2312" w:hAnsi="仿宋_GB2312" w:eastAsia="仿宋_GB2312" w:cs="仿宋_GB2312"/>
          <w:b w:val="0"/>
          <w:bCs w:val="0"/>
          <w:color w:val="auto"/>
          <w:sz w:val="32"/>
          <w:szCs w:val="32"/>
          <w:highlight w:val="none"/>
          <w:lang w:val="en-US" w:eastAsia="zh-CN"/>
        </w:rPr>
        <w:t>在最多跑一次、一次不跑、一次办好、错时延时服务等的基础上，进一步营造干净、舒适、便捷的办事环境，并免费上线了“预审管理平台预审案件提交系统”，通过“互联网+”方便各企事业单位办事；同时，免费为各企事业单位开展侵权判定咨询服务，并常态化开展“百企行•知识产权定制化服务”公益活动，免费上门为20余家单位解决遇到的具体困难和问题</w:t>
      </w:r>
      <w:r>
        <w:rPr>
          <w:rFonts w:hint="eastAsia" w:ascii="仿宋_GB2312" w:hAnsi="仿宋_GB2312" w:eastAsia="仿宋_GB2312" w:cs="仿宋_GB2312"/>
          <w:sz w:val="32"/>
          <w:szCs w:val="32"/>
          <w:highlight w:val="none"/>
        </w:rPr>
        <w:t>。面对面宣传知识产权方面的政策法规及相关业务知识，让大家逐渐认识到知识产权保护的重要性，大力挖掘相关专利，做好专利布局及其他知识产权保护工作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知识产权保护中心运行经费项目社会效益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1.26</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e.知识产权管理费项目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提高市民知识产权意识：全年计划举办4次以上知识产权宣传活动大，实际举办4次，得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知识产权管理费项目社会效益</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权重为7分，本次绩效评价实际得分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0.2</w:t>
      </w:r>
      <w:r>
        <w:rPr>
          <w:rFonts w:hint="eastAsia" w:ascii="仿宋_GB2312" w:hAnsi="仿宋_GB2312" w:eastAsia="仿宋_GB2312" w:cs="仿宋_GB2312"/>
          <w:color w:val="0000FF"/>
          <w:sz w:val="32"/>
          <w:szCs w:val="32"/>
          <w:highlight w:val="none"/>
        </w:rPr>
        <w:t>分。</w:t>
      </w:r>
    </w:p>
    <w:p>
      <w:pPr>
        <w:spacing w:line="560" w:lineRule="exact"/>
        <w:ind w:firstLine="643" w:firstLineChars="200"/>
        <w:rPr>
          <w:rFonts w:hint="default" w:ascii="仿宋_GB2312" w:hAnsi="仿宋_GB2312" w:eastAsia="仿宋_GB2312" w:cs="仿宋_GB2312"/>
          <w:b/>
          <w:bCs/>
          <w:color w:val="0000FF"/>
          <w:sz w:val="32"/>
          <w:szCs w:val="32"/>
          <w:highlight w:val="none"/>
          <w:lang w:val="en-US" w:eastAsia="zh-CN"/>
        </w:rPr>
      </w:pPr>
      <w:r>
        <w:rPr>
          <w:rFonts w:hint="eastAsia" w:ascii="仿宋_GB2312" w:hAnsi="仿宋_GB2312" w:eastAsia="仿宋_GB2312" w:cs="仿宋_GB2312"/>
          <w:b/>
          <w:bCs/>
          <w:color w:val="0000FF"/>
          <w:sz w:val="32"/>
          <w:szCs w:val="32"/>
          <w:highlight w:val="none"/>
          <w:lang w:val="en-US" w:eastAsia="zh-CN"/>
        </w:rPr>
        <w:t>社会效益指标权重7分，本次绩效评价实际得分为7分。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3、生态效益指标得分情况</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本项目不产生直接生态效益，未设置生态效益指标。</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4、可持续影响指标得分情况</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a.知识产权奖励项目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项目自身的技术创新、效益创新的持续性能力：万人有效发明专利拥有量计划同比增长15%，每万人有效发明专利拥有量1</w:t>
      </w:r>
      <w:r>
        <w:rPr>
          <w:rFonts w:hint="eastAsia" w:ascii="仿宋_GB2312" w:hAnsi="仿宋_GB2312" w:eastAsia="仿宋_GB2312" w:cs="仿宋_GB2312"/>
          <w:sz w:val="32"/>
          <w:szCs w:val="32"/>
          <w:highlight w:val="none"/>
          <w:lang w:val="en-US" w:eastAsia="zh-CN"/>
        </w:rPr>
        <w:t>2.47</w:t>
      </w:r>
      <w:r>
        <w:rPr>
          <w:rFonts w:hint="eastAsia" w:ascii="仿宋_GB2312" w:hAnsi="仿宋_GB2312" w:eastAsia="仿宋_GB2312" w:cs="仿宋_GB2312"/>
          <w:sz w:val="32"/>
          <w:szCs w:val="32"/>
          <w:highlight w:val="none"/>
        </w:rPr>
        <w:t>件，同比增长15.</w:t>
      </w:r>
      <w:r>
        <w:rPr>
          <w:rFonts w:hint="eastAsia" w:ascii="仿宋_GB2312" w:hAnsi="仿宋_GB2312" w:eastAsia="仿宋_GB2312" w:cs="仿宋_GB2312"/>
          <w:sz w:val="32"/>
          <w:szCs w:val="32"/>
          <w:highlight w:val="none"/>
          <w:lang w:val="en-US" w:eastAsia="zh-CN"/>
        </w:rPr>
        <w:t>63</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知识产权奖励项目可持续</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权重为6分，本次绩效评价实际得分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2.87</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b.知识产权补助项目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项目自身的技术创新、效益创新的持续性能力：万人有效发明专利拥有量计划同比增长15%，每万人有效发明专利拥有量1</w:t>
      </w:r>
      <w:r>
        <w:rPr>
          <w:rFonts w:hint="eastAsia" w:ascii="仿宋_GB2312" w:hAnsi="仿宋_GB2312" w:eastAsia="仿宋_GB2312" w:cs="仿宋_GB2312"/>
          <w:sz w:val="32"/>
          <w:szCs w:val="32"/>
          <w:highlight w:val="none"/>
          <w:lang w:val="en-US" w:eastAsia="zh-CN"/>
        </w:rPr>
        <w:t>2.47</w:t>
      </w:r>
      <w:r>
        <w:rPr>
          <w:rFonts w:hint="eastAsia" w:ascii="仿宋_GB2312" w:hAnsi="仿宋_GB2312" w:eastAsia="仿宋_GB2312" w:cs="仿宋_GB2312"/>
          <w:sz w:val="32"/>
          <w:szCs w:val="32"/>
          <w:highlight w:val="none"/>
        </w:rPr>
        <w:t>件，同比增长15.</w:t>
      </w:r>
      <w:r>
        <w:rPr>
          <w:rFonts w:hint="eastAsia" w:ascii="仿宋_GB2312" w:hAnsi="仿宋_GB2312" w:eastAsia="仿宋_GB2312" w:cs="仿宋_GB2312"/>
          <w:sz w:val="32"/>
          <w:szCs w:val="32"/>
          <w:highlight w:val="none"/>
          <w:lang w:val="en-US" w:eastAsia="zh-CN"/>
        </w:rPr>
        <w:t>63</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知识产权补助项目可持续</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权重为6分，本次绩效评价实际得分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1.75</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c.知识产权维权援助项目</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知识产权维权援助热线投诉、咨询量增长</w:t>
      </w:r>
      <w:r>
        <w:rPr>
          <w:rFonts w:hint="eastAsia" w:ascii="仿宋_GB2312" w:hAnsi="仿宋_GB2312" w:eastAsia="仿宋_GB2312" w:cs="仿宋_GB2312"/>
          <w:sz w:val="32"/>
          <w:szCs w:val="32"/>
          <w:lang w:val="en-US" w:eastAsia="zh-CN"/>
        </w:rPr>
        <w:t>10%以上，得6分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知识产权维权援助项目</w:t>
      </w:r>
      <w:r>
        <w:rPr>
          <w:rFonts w:hint="eastAsia" w:ascii="仿宋_GB2312" w:hAnsi="仿宋_GB2312" w:eastAsia="仿宋_GB2312" w:cs="仿宋_GB2312"/>
          <w:sz w:val="32"/>
          <w:szCs w:val="32"/>
          <w:highlight w:val="none"/>
          <w:lang w:val="en-US" w:eastAsia="zh-CN"/>
        </w:rPr>
        <w:t>可持续</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权重为6分，本次绩效评价实际得分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0.13</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d.知识产权保护中心运行经费项目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知识产权保护项目后续运行及其产生的成效对社会正面效益的持续影响是长期的，得</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知识产权保护中心运行经费项目</w:t>
      </w:r>
      <w:r>
        <w:rPr>
          <w:rFonts w:hint="eastAsia" w:ascii="仿宋_GB2312" w:hAnsi="仿宋_GB2312" w:eastAsia="仿宋_GB2312" w:cs="仿宋_GB2312"/>
          <w:sz w:val="32"/>
          <w:szCs w:val="32"/>
          <w:highlight w:val="none"/>
          <w:lang w:val="en-US" w:eastAsia="zh-CN"/>
        </w:rPr>
        <w:t>可持续</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权重为6分，本次绩效评价实际得分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1.08</w:t>
      </w:r>
      <w:r>
        <w:rPr>
          <w:rFonts w:hint="eastAsia" w:ascii="仿宋_GB2312" w:hAnsi="仿宋_GB2312" w:eastAsia="仿宋_GB2312" w:cs="仿宋_GB2312"/>
          <w:color w:val="0000FF"/>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e.知识产权管理费项目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开展知识产权相关工作：我市万人有效发明专利拥有量计划同比增长15%，2019年度每万人有效发明专利拥有量10.78件，同比增长15.89%，得</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知识产权管理费项目</w:t>
      </w:r>
      <w:r>
        <w:rPr>
          <w:rFonts w:hint="eastAsia" w:ascii="仿宋_GB2312" w:hAnsi="仿宋_GB2312" w:eastAsia="仿宋_GB2312" w:cs="仿宋_GB2312"/>
          <w:sz w:val="32"/>
          <w:szCs w:val="32"/>
          <w:highlight w:val="none"/>
          <w:lang w:val="en-US" w:eastAsia="zh-CN"/>
        </w:rPr>
        <w:t>可持续</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权重为6分，本次绩效评价实际得分</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560" w:lineRule="exact"/>
        <w:ind w:firstLine="640" w:firstLineChars="200"/>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color w:val="0000FF"/>
          <w:sz w:val="32"/>
          <w:szCs w:val="32"/>
          <w:highlight w:val="none"/>
          <w:lang w:val="en-US" w:eastAsia="zh-CN"/>
        </w:rPr>
        <w:t>按项目权重比例，该子项目</w:t>
      </w:r>
      <w:r>
        <w:rPr>
          <w:rFonts w:hint="eastAsia" w:ascii="仿宋_GB2312" w:hAnsi="仿宋_GB2312" w:eastAsia="仿宋_GB2312" w:cs="仿宋_GB2312"/>
          <w:color w:val="0000FF"/>
          <w:sz w:val="32"/>
          <w:szCs w:val="32"/>
          <w:highlight w:val="none"/>
        </w:rPr>
        <w:t>得分为</w:t>
      </w:r>
      <w:r>
        <w:rPr>
          <w:rFonts w:hint="eastAsia" w:ascii="仿宋_GB2312" w:hAnsi="仿宋_GB2312" w:eastAsia="仿宋_GB2312" w:cs="仿宋_GB2312"/>
          <w:color w:val="0000FF"/>
          <w:sz w:val="32"/>
          <w:szCs w:val="32"/>
          <w:highlight w:val="none"/>
          <w:lang w:val="en-US" w:eastAsia="zh-CN"/>
        </w:rPr>
        <w:t>0.17</w:t>
      </w:r>
      <w:r>
        <w:rPr>
          <w:rFonts w:hint="eastAsia" w:ascii="仿宋_GB2312" w:hAnsi="仿宋_GB2312" w:eastAsia="仿宋_GB2312" w:cs="仿宋_GB2312"/>
          <w:color w:val="0000FF"/>
          <w:sz w:val="32"/>
          <w:szCs w:val="32"/>
          <w:highlight w:val="none"/>
        </w:rPr>
        <w:t>分。</w:t>
      </w:r>
    </w:p>
    <w:p>
      <w:pPr>
        <w:spacing w:line="560" w:lineRule="exact"/>
        <w:ind w:firstLine="643" w:firstLineChars="200"/>
        <w:rPr>
          <w:rFonts w:hint="default" w:ascii="仿宋_GB2312" w:hAnsi="仿宋_GB2312" w:eastAsia="仿宋_GB2312" w:cs="仿宋_GB2312"/>
          <w:b/>
          <w:bCs/>
          <w:color w:val="0000FF"/>
          <w:sz w:val="32"/>
          <w:szCs w:val="32"/>
          <w:highlight w:val="none"/>
          <w:lang w:val="en-US" w:eastAsia="zh-CN"/>
        </w:rPr>
      </w:pPr>
      <w:r>
        <w:rPr>
          <w:rFonts w:hint="eastAsia" w:ascii="仿宋_GB2312" w:hAnsi="仿宋_GB2312" w:eastAsia="仿宋_GB2312" w:cs="仿宋_GB2312"/>
          <w:b/>
          <w:bCs/>
          <w:color w:val="0000FF"/>
          <w:sz w:val="32"/>
          <w:szCs w:val="32"/>
          <w:highlight w:val="none"/>
          <w:lang w:val="en-US" w:eastAsia="zh-CN"/>
        </w:rPr>
        <w:t>可持续影响指标权重6分，本次绩效评价实际得6分。</w:t>
      </w:r>
    </w:p>
    <w:p>
      <w:pPr>
        <w:spacing w:line="560" w:lineRule="exact"/>
        <w:ind w:firstLine="643" w:firstLineChars="200"/>
        <w:rPr>
          <w:rFonts w:hint="default" w:ascii="楷体_GB2312" w:hAnsi="仿宋_GB2312" w:eastAsia="楷体_GB2312" w:cs="仿宋_GB2312"/>
          <w:b/>
          <w:sz w:val="32"/>
          <w:szCs w:val="32"/>
          <w:highlight w:val="none"/>
          <w:lang w:val="en-US" w:eastAsia="zh-CN"/>
        </w:rPr>
      </w:pPr>
      <w:r>
        <w:rPr>
          <w:rFonts w:hint="eastAsia" w:ascii="楷体_GB2312" w:hAnsi="仿宋_GB2312" w:eastAsia="楷体_GB2312" w:cs="仿宋_GB2312"/>
          <w:b/>
          <w:sz w:val="32"/>
          <w:szCs w:val="32"/>
          <w:highlight w:val="none"/>
        </w:rPr>
        <w:t>（五）项目满意度情况</w:t>
      </w:r>
      <w:r>
        <w:rPr>
          <w:rFonts w:hint="eastAsia" w:ascii="楷体_GB2312" w:hAnsi="仿宋_GB2312" w:eastAsia="楷体_GB2312" w:cs="仿宋_GB2312"/>
          <w:b/>
          <w:sz w:val="32"/>
          <w:szCs w:val="32"/>
          <w:highlight w:val="none"/>
          <w:lang w:eastAsia="zh-CN"/>
        </w:rPr>
        <w:t>（</w:t>
      </w:r>
      <w:r>
        <w:rPr>
          <w:rFonts w:hint="eastAsia" w:ascii="楷体_GB2312" w:hAnsi="仿宋_GB2312" w:eastAsia="楷体_GB2312" w:cs="仿宋_GB2312"/>
          <w:b/>
          <w:sz w:val="32"/>
          <w:szCs w:val="32"/>
          <w:highlight w:val="none"/>
          <w:lang w:val="en-US" w:eastAsia="zh-CN"/>
        </w:rPr>
        <w:t>10分）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各子项目</w:t>
      </w:r>
      <w:r>
        <w:rPr>
          <w:rFonts w:hint="eastAsia" w:ascii="仿宋_GB2312" w:hAnsi="仿宋_GB2312" w:eastAsia="仿宋_GB2312" w:cs="仿宋_GB2312"/>
          <w:sz w:val="32"/>
          <w:szCs w:val="32"/>
          <w:highlight w:val="none"/>
        </w:rPr>
        <w:t>社会公众或服务对象满意度，95％以上，得10分。</w:t>
      </w:r>
    </w:p>
    <w:p>
      <w:pPr>
        <w:spacing w:line="560" w:lineRule="exact"/>
        <w:ind w:firstLine="643" w:firstLineChars="200"/>
        <w:rPr>
          <w:rFonts w:hint="default" w:ascii="仿宋_GB2312" w:hAnsi="仿宋_GB2312" w:eastAsia="仿宋_GB2312" w:cs="仿宋_GB2312"/>
          <w:b/>
          <w:bCs/>
          <w:color w:val="0000FF"/>
          <w:sz w:val="32"/>
          <w:szCs w:val="32"/>
          <w:highlight w:val="none"/>
          <w:lang w:val="en-US" w:eastAsia="zh-CN"/>
        </w:rPr>
      </w:pPr>
      <w:r>
        <w:rPr>
          <w:rFonts w:hint="eastAsia" w:ascii="仿宋_GB2312" w:hAnsi="仿宋_GB2312" w:eastAsia="仿宋_GB2312" w:cs="仿宋_GB2312"/>
          <w:b/>
          <w:bCs/>
          <w:color w:val="0000FF"/>
          <w:sz w:val="32"/>
          <w:szCs w:val="32"/>
          <w:highlight w:val="none"/>
          <w:lang w:val="en-US" w:eastAsia="zh-CN"/>
        </w:rPr>
        <w:t>满意度指标权重10分，本次绩效评价实际得10分。</w:t>
      </w:r>
    </w:p>
    <w:p>
      <w:pPr>
        <w:numPr>
          <w:ilvl w:val="0"/>
          <w:numId w:val="8"/>
        </w:num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主要经验及做法、存在的问题及原因分析</w:t>
      </w:r>
    </w:p>
    <w:p>
      <w:pPr>
        <w:spacing w:line="560" w:lineRule="exact"/>
        <w:ind w:firstLine="643" w:firstLineChars="200"/>
        <w:rPr>
          <w:rFonts w:hint="default" w:ascii="楷体_GB2312" w:hAnsi="仿宋_GB2312" w:eastAsia="楷体_GB2312" w:cs="仿宋_GB2312"/>
          <w:b/>
          <w:sz w:val="32"/>
          <w:szCs w:val="32"/>
          <w:highlight w:val="none"/>
          <w:lang w:val="en-US" w:eastAsia="zh-CN"/>
        </w:rPr>
      </w:pPr>
      <w:r>
        <w:rPr>
          <w:rFonts w:hint="eastAsia" w:ascii="楷体_GB2312" w:hAnsi="仿宋_GB2312" w:eastAsia="楷体_GB2312" w:cs="仿宋_GB2312"/>
          <w:b/>
          <w:sz w:val="32"/>
          <w:szCs w:val="32"/>
          <w:highlight w:val="none"/>
          <w:lang w:eastAsia="zh-CN"/>
        </w:rPr>
        <w:t>（</w:t>
      </w:r>
      <w:r>
        <w:rPr>
          <w:rFonts w:hint="eastAsia" w:ascii="楷体_GB2312" w:hAnsi="仿宋_GB2312" w:eastAsia="楷体_GB2312" w:cs="仿宋_GB2312"/>
          <w:b/>
          <w:sz w:val="32"/>
          <w:szCs w:val="32"/>
          <w:highlight w:val="none"/>
          <w:lang w:val="en-US" w:eastAsia="zh-CN"/>
        </w:rPr>
        <w:t>一）主要经验及做法</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一是深入开展高价值专利培育。深入开展高价值专利培育</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强化重点产业知识产权布局，围绕我市新能源汽车和新型材料、航空装备制造、电子信息及LED、生物医药等重点产业，积极开展高价值专利和专利密集型产业培育，着力提升知识产权创造能力，推动产业高质量发展。</w:t>
      </w:r>
      <w:r>
        <w:rPr>
          <w:rFonts w:hint="eastAsia" w:ascii="仿宋_GB2312" w:hAnsi="宋体" w:eastAsia="仿宋_GB2312" w:cs="宋体"/>
          <w:color w:val="000000"/>
          <w:kern w:val="0"/>
          <w:sz w:val="32"/>
          <w:szCs w:val="32"/>
          <w:lang w:val="en-US" w:eastAsia="zh-CN"/>
        </w:rPr>
        <w:t>制定出台了</w:t>
      </w:r>
      <w:r>
        <w:rPr>
          <w:rFonts w:hint="eastAsia" w:ascii="仿宋_GB2312" w:hAnsi="宋体" w:eastAsia="仿宋_GB2312" w:cs="宋体"/>
          <w:color w:val="000000"/>
          <w:kern w:val="0"/>
          <w:sz w:val="32"/>
          <w:szCs w:val="32"/>
        </w:rPr>
        <w:t>《南昌市市场监督管理局发明专利提质倍增三年行动方案（2020-2022）》</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提出九大工作举措，</w:t>
      </w:r>
      <w:r>
        <w:rPr>
          <w:rFonts w:hint="eastAsia" w:ascii="仿宋_GB2312" w:hAnsi="宋体" w:eastAsia="仿宋_GB2312" w:cs="宋体"/>
          <w:color w:val="000000"/>
          <w:kern w:val="0"/>
          <w:sz w:val="32"/>
          <w:szCs w:val="32"/>
        </w:rPr>
        <w:t>力争实现每万人发明专利拥有量、发明专利申请量翻一番的目标。</w:t>
      </w:r>
      <w:r>
        <w:rPr>
          <w:rFonts w:hint="eastAsia" w:ascii="仿宋_GB2312" w:hAnsi="宋体" w:eastAsia="仿宋_GB2312" w:cs="宋体"/>
          <w:color w:val="000000"/>
          <w:kern w:val="0"/>
          <w:sz w:val="32"/>
          <w:szCs w:val="32"/>
          <w:lang w:val="en-US" w:eastAsia="zh-CN"/>
        </w:rPr>
        <w:t>2020年，我市</w:t>
      </w:r>
      <w:r>
        <w:rPr>
          <w:rFonts w:hint="eastAsia" w:ascii="仿宋_GB2312" w:hAnsi="宋体" w:eastAsia="仿宋_GB2312" w:cs="宋体"/>
          <w:color w:val="000000"/>
          <w:kern w:val="0"/>
          <w:sz w:val="32"/>
          <w:szCs w:val="32"/>
        </w:rPr>
        <w:t>专利申请量</w:t>
      </w:r>
      <w:r>
        <w:rPr>
          <w:rFonts w:hint="eastAsia" w:ascii="仿宋_GB2312" w:hAnsi="宋体" w:eastAsia="仿宋_GB2312" w:cs="宋体"/>
          <w:color w:val="000000"/>
          <w:kern w:val="0"/>
          <w:sz w:val="32"/>
          <w:szCs w:val="32"/>
          <w:lang w:val="en-US" w:eastAsia="zh-CN"/>
        </w:rPr>
        <w:t>30006件</w:t>
      </w:r>
      <w:r>
        <w:rPr>
          <w:rFonts w:hint="eastAsia" w:ascii="仿宋_GB2312" w:hAnsi="宋体" w:eastAsia="仿宋_GB2312" w:cs="宋体"/>
          <w:color w:val="000000"/>
          <w:kern w:val="0"/>
          <w:sz w:val="32"/>
          <w:szCs w:val="32"/>
        </w:rPr>
        <w:t>，同比增长</w:t>
      </w:r>
      <w:r>
        <w:rPr>
          <w:rFonts w:hint="eastAsia" w:ascii="仿宋_GB2312" w:hAnsi="宋体" w:eastAsia="仿宋_GB2312" w:cs="宋体"/>
          <w:color w:val="000000"/>
          <w:kern w:val="0"/>
          <w:sz w:val="32"/>
          <w:szCs w:val="32"/>
          <w:lang w:val="en-US" w:eastAsia="zh-CN"/>
        </w:rPr>
        <w:t>38.4</w:t>
      </w:r>
      <w:r>
        <w:rPr>
          <w:rFonts w:hint="eastAsia" w:ascii="仿宋_GB2312" w:hAnsi="宋体" w:eastAsia="仿宋_GB2312" w:cs="宋体"/>
          <w:color w:val="000000"/>
          <w:kern w:val="0"/>
          <w:sz w:val="32"/>
          <w:szCs w:val="32"/>
        </w:rPr>
        <w:t>%，占全省比重</w:t>
      </w:r>
      <w:r>
        <w:rPr>
          <w:rFonts w:hint="eastAsia" w:ascii="仿宋_GB2312" w:hAnsi="宋体" w:eastAsia="仿宋_GB2312" w:cs="宋体"/>
          <w:color w:val="000000"/>
          <w:kern w:val="0"/>
          <w:sz w:val="32"/>
          <w:szCs w:val="32"/>
          <w:lang w:val="en-US" w:eastAsia="zh-CN"/>
        </w:rPr>
        <w:t>26.25</w:t>
      </w:r>
      <w:r>
        <w:rPr>
          <w:rFonts w:hint="eastAsia" w:ascii="仿宋_GB2312" w:hAnsi="宋体" w:eastAsia="仿宋_GB2312" w:cs="宋体"/>
          <w:color w:val="000000"/>
          <w:kern w:val="0"/>
          <w:sz w:val="32"/>
          <w:szCs w:val="32"/>
        </w:rPr>
        <w:t>%，其中发明专利</w:t>
      </w:r>
      <w:r>
        <w:rPr>
          <w:rFonts w:hint="eastAsia" w:ascii="仿宋_GB2312" w:hAnsi="宋体" w:eastAsia="仿宋_GB2312" w:cs="宋体"/>
          <w:color w:val="000000"/>
          <w:kern w:val="0"/>
          <w:sz w:val="32"/>
          <w:szCs w:val="32"/>
          <w:lang w:val="en-US" w:eastAsia="zh-CN"/>
        </w:rPr>
        <w:t>8533</w:t>
      </w:r>
      <w:r>
        <w:rPr>
          <w:rFonts w:hint="eastAsia" w:ascii="仿宋_GB2312" w:hAnsi="宋体" w:eastAsia="仿宋_GB2312" w:cs="宋体"/>
          <w:color w:val="000000"/>
          <w:kern w:val="0"/>
          <w:sz w:val="32"/>
          <w:szCs w:val="32"/>
        </w:rPr>
        <w:t>件，同比增长</w:t>
      </w:r>
      <w:r>
        <w:rPr>
          <w:rFonts w:hint="eastAsia" w:ascii="仿宋_GB2312" w:hAnsi="宋体" w:eastAsia="仿宋_GB2312" w:cs="宋体"/>
          <w:color w:val="000000"/>
          <w:kern w:val="0"/>
          <w:sz w:val="32"/>
          <w:szCs w:val="32"/>
          <w:lang w:val="en-US" w:eastAsia="zh-CN"/>
        </w:rPr>
        <w:t>56.4</w:t>
      </w:r>
      <w:r>
        <w:rPr>
          <w:rFonts w:hint="eastAsia" w:ascii="仿宋_GB2312" w:hAnsi="宋体" w:eastAsia="仿宋_GB2312" w:cs="宋体"/>
          <w:color w:val="000000"/>
          <w:kern w:val="0"/>
          <w:sz w:val="32"/>
          <w:szCs w:val="32"/>
        </w:rPr>
        <w:t>%，占全省比重</w:t>
      </w:r>
      <w:r>
        <w:rPr>
          <w:rFonts w:hint="eastAsia" w:ascii="仿宋_GB2312" w:hAnsi="宋体" w:eastAsia="仿宋_GB2312" w:cs="宋体"/>
          <w:color w:val="000000"/>
          <w:kern w:val="0"/>
          <w:sz w:val="32"/>
          <w:szCs w:val="32"/>
          <w:lang w:val="en-US" w:eastAsia="zh-CN"/>
        </w:rPr>
        <w:t>38.32</w:t>
      </w:r>
      <w:r>
        <w:rPr>
          <w:rFonts w:hint="eastAsia" w:ascii="仿宋_GB2312" w:hAnsi="宋体" w:eastAsia="仿宋_GB2312" w:cs="宋体"/>
          <w:color w:val="000000"/>
          <w:kern w:val="0"/>
          <w:sz w:val="32"/>
          <w:szCs w:val="32"/>
        </w:rPr>
        <w:t>%；专利授权量</w:t>
      </w:r>
      <w:r>
        <w:rPr>
          <w:rFonts w:hint="eastAsia" w:ascii="仿宋_GB2312" w:hAnsi="宋体" w:eastAsia="仿宋_GB2312" w:cs="宋体"/>
          <w:color w:val="000000"/>
          <w:kern w:val="0"/>
          <w:sz w:val="32"/>
          <w:szCs w:val="32"/>
          <w:lang w:val="en-US" w:eastAsia="zh-CN"/>
        </w:rPr>
        <w:t>17910</w:t>
      </w:r>
      <w:r>
        <w:rPr>
          <w:rFonts w:hint="eastAsia" w:ascii="仿宋_GB2312" w:hAnsi="宋体" w:eastAsia="仿宋_GB2312" w:cs="宋体"/>
          <w:color w:val="000000"/>
          <w:kern w:val="0"/>
          <w:sz w:val="32"/>
          <w:szCs w:val="32"/>
        </w:rPr>
        <w:t>件，同比增长</w:t>
      </w:r>
      <w:r>
        <w:rPr>
          <w:rFonts w:hint="eastAsia" w:ascii="仿宋_GB2312" w:hAnsi="宋体" w:eastAsia="仿宋_GB2312" w:cs="宋体"/>
          <w:color w:val="000000"/>
          <w:kern w:val="0"/>
          <w:sz w:val="32"/>
          <w:szCs w:val="32"/>
          <w:lang w:val="en-US" w:eastAsia="zh-CN"/>
        </w:rPr>
        <w:t>37.2</w:t>
      </w:r>
      <w:r>
        <w:rPr>
          <w:rFonts w:hint="eastAsia" w:ascii="仿宋_GB2312" w:hAnsi="宋体" w:eastAsia="仿宋_GB2312" w:cs="宋体"/>
          <w:color w:val="000000"/>
          <w:kern w:val="0"/>
          <w:sz w:val="32"/>
          <w:szCs w:val="32"/>
        </w:rPr>
        <w:t>%，占全省</w:t>
      </w:r>
      <w:r>
        <w:rPr>
          <w:rFonts w:hint="eastAsia" w:ascii="仿宋_GB2312" w:hAnsi="宋体" w:eastAsia="仿宋_GB2312" w:cs="宋体"/>
          <w:color w:val="000000"/>
          <w:kern w:val="0"/>
          <w:sz w:val="32"/>
          <w:szCs w:val="32"/>
          <w:lang w:val="en-US" w:eastAsia="zh-CN"/>
        </w:rPr>
        <w:t>22.32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其中发明专利授权量</w:t>
      </w:r>
      <w:r>
        <w:rPr>
          <w:rFonts w:hint="eastAsia" w:ascii="仿宋_GB2312" w:hAnsi="宋体" w:eastAsia="仿宋_GB2312" w:cs="宋体"/>
          <w:color w:val="000000"/>
          <w:kern w:val="0"/>
          <w:sz w:val="32"/>
          <w:szCs w:val="32"/>
          <w:lang w:val="en-US" w:eastAsia="zh-CN"/>
        </w:rPr>
        <w:t>1675</w:t>
      </w:r>
      <w:r>
        <w:rPr>
          <w:rFonts w:hint="eastAsia" w:ascii="仿宋_GB2312" w:hAnsi="宋体" w:eastAsia="仿宋_GB2312" w:cs="宋体"/>
          <w:color w:val="000000"/>
          <w:kern w:val="0"/>
          <w:sz w:val="32"/>
          <w:szCs w:val="32"/>
        </w:rPr>
        <w:t>件，同比增长</w:t>
      </w:r>
      <w:r>
        <w:rPr>
          <w:rFonts w:hint="eastAsia" w:ascii="仿宋_GB2312" w:hAnsi="宋体" w:eastAsia="仿宋_GB2312" w:cs="宋体"/>
          <w:color w:val="000000"/>
          <w:kern w:val="0"/>
          <w:sz w:val="32"/>
          <w:szCs w:val="32"/>
          <w:lang w:val="en-US" w:eastAsia="zh-CN"/>
        </w:rPr>
        <w:t>37</w:t>
      </w:r>
      <w:r>
        <w:rPr>
          <w:rFonts w:hint="eastAsia" w:ascii="仿宋_GB2312" w:hAnsi="宋体" w:eastAsia="仿宋_GB2312" w:cs="宋体"/>
          <w:color w:val="000000"/>
          <w:kern w:val="0"/>
          <w:sz w:val="32"/>
          <w:szCs w:val="32"/>
        </w:rPr>
        <w:t>%，占全省</w:t>
      </w:r>
      <w:r>
        <w:rPr>
          <w:rFonts w:hint="eastAsia" w:ascii="仿宋_GB2312" w:hAnsi="宋体" w:eastAsia="仿宋_GB2312" w:cs="宋体"/>
          <w:color w:val="000000"/>
          <w:kern w:val="0"/>
          <w:sz w:val="32"/>
          <w:szCs w:val="32"/>
          <w:lang w:val="en-US" w:eastAsia="zh-CN"/>
        </w:rPr>
        <w:t>38</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PCT专利申请量137件，占全省48.58%。</w:t>
      </w:r>
      <w:r>
        <w:rPr>
          <w:rFonts w:hint="eastAsia" w:ascii="仿宋_GB2312" w:hAnsi="宋体" w:eastAsia="仿宋_GB2312" w:cs="宋体"/>
          <w:color w:val="000000"/>
          <w:kern w:val="0"/>
          <w:sz w:val="32"/>
          <w:szCs w:val="32"/>
        </w:rPr>
        <w:t>每万人有效发明专利拥有量</w:t>
      </w:r>
      <w:r>
        <w:rPr>
          <w:rFonts w:hint="eastAsia" w:ascii="仿宋_GB2312" w:hAnsi="宋体" w:eastAsia="仿宋_GB2312" w:cs="宋体"/>
          <w:color w:val="000000"/>
          <w:kern w:val="0"/>
          <w:sz w:val="32"/>
          <w:szCs w:val="32"/>
          <w:lang w:val="en-US" w:eastAsia="zh-CN"/>
        </w:rPr>
        <w:t>12.47</w:t>
      </w:r>
      <w:r>
        <w:rPr>
          <w:rFonts w:hint="eastAsia" w:ascii="仿宋_GB2312" w:hAnsi="宋体" w:eastAsia="仿宋_GB2312" w:cs="宋体"/>
          <w:color w:val="000000"/>
          <w:kern w:val="0"/>
          <w:sz w:val="32"/>
          <w:szCs w:val="32"/>
        </w:rPr>
        <w:t>件，同比增长</w:t>
      </w:r>
      <w:r>
        <w:rPr>
          <w:rFonts w:hint="eastAsia" w:ascii="仿宋_GB2312" w:hAnsi="宋体" w:eastAsia="仿宋_GB2312" w:cs="宋体"/>
          <w:color w:val="000000"/>
          <w:kern w:val="0"/>
          <w:sz w:val="32"/>
          <w:szCs w:val="32"/>
          <w:lang w:val="en-US" w:eastAsia="zh-CN"/>
        </w:rPr>
        <w:t>1.69</w:t>
      </w:r>
      <w:r>
        <w:rPr>
          <w:rFonts w:hint="eastAsia" w:ascii="仿宋_GB2312" w:hAnsi="宋体" w:eastAsia="仿宋_GB2312" w:cs="宋体"/>
          <w:color w:val="000000"/>
          <w:kern w:val="0"/>
          <w:sz w:val="32"/>
          <w:szCs w:val="32"/>
        </w:rPr>
        <w:t>件，是全省</w:t>
      </w:r>
      <w:r>
        <w:rPr>
          <w:rFonts w:hint="eastAsia" w:ascii="仿宋_GB2312" w:hAnsi="宋体" w:eastAsia="仿宋_GB2312" w:cs="宋体"/>
          <w:color w:val="000000"/>
          <w:kern w:val="0"/>
          <w:sz w:val="32"/>
          <w:szCs w:val="32"/>
          <w:lang w:val="en-US" w:eastAsia="zh-CN"/>
        </w:rPr>
        <w:t>的3.39</w:t>
      </w:r>
      <w:r>
        <w:rPr>
          <w:rFonts w:hint="eastAsia" w:ascii="仿宋_GB2312" w:hAnsi="宋体" w:eastAsia="仿宋_GB2312" w:cs="宋体"/>
          <w:color w:val="000000"/>
          <w:kern w:val="0"/>
          <w:sz w:val="32"/>
          <w:szCs w:val="32"/>
        </w:rPr>
        <w:t>倍。各项指标</w:t>
      </w:r>
      <w:r>
        <w:rPr>
          <w:rFonts w:hint="eastAsia" w:ascii="仿宋_GB2312" w:hAnsi="宋体" w:eastAsia="仿宋_GB2312" w:cs="宋体"/>
          <w:color w:val="000000"/>
          <w:kern w:val="0"/>
          <w:sz w:val="32"/>
          <w:szCs w:val="32"/>
          <w:lang w:val="en-US" w:eastAsia="zh-CN"/>
        </w:rPr>
        <w:t>均</w:t>
      </w:r>
      <w:r>
        <w:rPr>
          <w:rFonts w:hint="eastAsia" w:ascii="仿宋_GB2312" w:hAnsi="宋体" w:eastAsia="仿宋_GB2312" w:cs="宋体"/>
          <w:color w:val="000000"/>
          <w:kern w:val="0"/>
          <w:sz w:val="32"/>
          <w:szCs w:val="32"/>
        </w:rPr>
        <w:t>居全省首位。</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二是积极开展知识产权质押融资。积极推进国家知识产权示范城市，大力开展知识产权运营服务试点工作和知识产权质押融资工作，通过开展授权专利补贴、培育知识产权优势示范企业等多项措施，有力提升了我市知识产权运用水平。</w:t>
      </w:r>
      <w:r>
        <w:rPr>
          <w:rFonts w:hint="eastAsia" w:ascii="仿宋_GB2312" w:hAnsi="宋体" w:eastAsia="仿宋_GB2312" w:cs="宋体"/>
          <w:color w:val="000000"/>
          <w:kern w:val="0"/>
          <w:sz w:val="32"/>
          <w:szCs w:val="32"/>
          <w:lang w:val="en-US" w:eastAsia="zh-CN"/>
        </w:rPr>
        <w:t>为助力复工复产，开通知识产权质押融资绿色通道。商标权质押登记提供先行查询、专人指导、邮寄传真等服务，根据有关企业和银行需求，即收即办、快速办理，力争1个工作日完成电子化登记，在全省第一次实现企业一次不跑办理商标质押贷款。针对疫情防控物</w:t>
      </w:r>
      <w:r>
        <w:rPr>
          <w:rFonts w:hint="eastAsia" w:ascii="仿宋_GB2312" w:hAnsi="宋体" w:eastAsia="仿宋_GB2312" w:cs="宋体"/>
          <w:color w:val="000000"/>
          <w:kern w:val="0"/>
          <w:sz w:val="32"/>
          <w:szCs w:val="32"/>
        </w:rPr>
        <w:t>资生产企业等，推出即刻办理、立等可取等加急措施</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纾解企业融资难</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2020年</w:t>
      </w:r>
      <w:r>
        <w:rPr>
          <w:rFonts w:hint="eastAsia" w:ascii="仿宋_GB2312" w:hAnsi="宋体" w:eastAsia="仿宋_GB2312" w:cs="宋体"/>
          <w:color w:val="000000"/>
          <w:kern w:val="0"/>
          <w:sz w:val="32"/>
          <w:szCs w:val="32"/>
        </w:rPr>
        <w:t>，共办理知识产权质押33起，质押专利和商标199件，质押贷款金额5.04亿元，位列全省第一。</w:t>
      </w:r>
    </w:p>
    <w:p>
      <w:pPr>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三是稳步推进知识产权运营服务。</w:t>
      </w:r>
      <w:r>
        <w:rPr>
          <w:rFonts w:hint="eastAsia" w:ascii="仿宋_GB2312" w:hAnsi="宋体" w:eastAsia="仿宋_GB2312" w:cs="宋体"/>
          <w:color w:val="000000"/>
          <w:kern w:val="0"/>
          <w:sz w:val="32"/>
          <w:szCs w:val="32"/>
          <w:lang w:val="en-US" w:eastAsia="zh-CN"/>
        </w:rPr>
        <w:t>今年6月南昌市高新泽信重点产业知识产权运营基金（有限合伙）企业成立。重点投资于南昌市确定的重点产业、战略性新兴产业、专利密集型产业领域的知识产权运营项目和企业，</w:t>
      </w:r>
      <w:r>
        <w:rPr>
          <w:rFonts w:hint="eastAsia" w:ascii="仿宋_GB2312" w:hAnsi="宋体" w:eastAsia="仿宋_GB2312" w:cs="宋体"/>
          <w:color w:val="000000"/>
          <w:kern w:val="0"/>
          <w:sz w:val="32"/>
          <w:szCs w:val="32"/>
        </w:rPr>
        <w:t>为我市企业创新发展和产业转型升级提供有力支撑</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目前已经有多个储备项目，包括中德生物、普瑞丰、诚正稀土、碳化硅晶圆、克莱威等，在对项目进行尽职调查后，再进行投资。20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11月修订</w:t>
      </w:r>
      <w:r>
        <w:rPr>
          <w:rFonts w:hint="eastAsia" w:ascii="仿宋_GB2312" w:hAnsi="宋体" w:eastAsia="仿宋_GB2312" w:cs="宋体"/>
          <w:color w:val="000000"/>
          <w:kern w:val="0"/>
          <w:sz w:val="32"/>
          <w:szCs w:val="32"/>
        </w:rPr>
        <w:t>出台了《南昌市重点产业知识产权运营基金管理暂行办法》</w:t>
      </w:r>
      <w:r>
        <w:rPr>
          <w:rFonts w:hint="eastAsia" w:ascii="仿宋_GB2312" w:hAnsi="宋体" w:eastAsia="仿宋_GB2312" w:cs="宋体"/>
          <w:color w:val="000000"/>
          <w:kern w:val="0"/>
          <w:sz w:val="32"/>
          <w:szCs w:val="32"/>
          <w:lang w:eastAsia="zh-CN"/>
        </w:rPr>
        <w:t>。</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四是大力开展知识产权专项执法和维权援助。</w:t>
      </w:r>
      <w:r>
        <w:rPr>
          <w:rFonts w:hint="eastAsia" w:ascii="仿宋_GB2312" w:hAnsi="宋体" w:eastAsia="仿宋_GB2312" w:cs="宋体"/>
          <w:color w:val="000000"/>
          <w:kern w:val="0"/>
          <w:sz w:val="32"/>
          <w:szCs w:val="32"/>
        </w:rPr>
        <w:t>结合“双随机一公开”抽查检查,部署开展全省2020年度知识产权执法“铁拳”专项行动和商标专项集中执法行动，侧重加强对中小企业及民营企业的知识产权保护力度，重点针对农资产品、食品类和电子、汽配、建材类商标使用行为以及专利真实性进行专项整治，打击涉嫌商标、专利侵权假冒行为；严厉打击商标代理机构违法行为，组织本级和各县区局开展对辖区内中介机构代理与疫情防控相关非正常商标申请代理行为的监控与排查，对存在违法违规的非正常商标申请代理行为的企业和代理机构进行约谈，对涉嫌违法的商标代理机构依法予以1.5万元的行政处罚；有效化解专利侵权纠纷，利用行政裁决、行政调解、人民调解等多种方式，有效化解专利人侵权争议。截止目前，今年共立案知识产权案件69件；共结案73件；移送司法机关案件4件；罚没款共计225.7673万元。处理专利侵权纠纷行政裁决3起。</w:t>
      </w:r>
    </w:p>
    <w:p>
      <w:p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五</w:t>
      </w:r>
      <w:r>
        <w:rPr>
          <w:rFonts w:hint="eastAsia" w:ascii="仿宋_GB2312" w:hAnsi="宋体" w:eastAsia="仿宋_GB2312" w:cs="宋体"/>
          <w:color w:val="000000"/>
          <w:kern w:val="0"/>
          <w:sz w:val="32"/>
          <w:szCs w:val="32"/>
        </w:rPr>
        <w:t>是高效运用快速授权绿色通道。充分发挥中国（南昌）市知识产权保护中心这一国家级功能平台作用，开展中医药和电子信息领域快速预审服务，国家知识产权局通过优先、快速审查，专利授权时间普遍缩短80%以上。</w:t>
      </w:r>
      <w:r>
        <w:rPr>
          <w:rFonts w:hint="eastAsia" w:ascii="仿宋_GB2312" w:hAnsi="宋体" w:eastAsia="仿宋_GB2312" w:cs="宋体"/>
          <w:color w:val="000000"/>
          <w:kern w:val="0"/>
          <w:sz w:val="32"/>
          <w:szCs w:val="32"/>
          <w:lang w:val="en-US" w:eastAsia="zh-CN"/>
        </w:rPr>
        <w:t>2020年，入册备案服务企业新增410家，累计759家，</w:t>
      </w:r>
      <w:r>
        <w:rPr>
          <w:rFonts w:hint="eastAsia" w:ascii="仿宋_GB2312" w:hAnsi="宋体" w:eastAsia="仿宋_GB2312" w:cs="宋体"/>
          <w:color w:val="000000"/>
          <w:kern w:val="0"/>
          <w:sz w:val="32"/>
          <w:szCs w:val="32"/>
        </w:rPr>
        <w:t>预审案件接收</w:t>
      </w:r>
      <w:r>
        <w:rPr>
          <w:rFonts w:hint="eastAsia" w:ascii="仿宋_GB2312" w:hAnsi="宋体" w:eastAsia="仿宋_GB2312" w:cs="宋体"/>
          <w:color w:val="000000"/>
          <w:kern w:val="0"/>
          <w:sz w:val="32"/>
          <w:szCs w:val="32"/>
          <w:lang w:val="en-US" w:eastAsia="zh-CN"/>
        </w:rPr>
        <w:t>量</w:t>
      </w:r>
      <w:r>
        <w:rPr>
          <w:rFonts w:hint="eastAsia" w:ascii="仿宋_GB2312" w:hAnsi="宋体" w:eastAsia="仿宋_GB2312" w:cs="宋体"/>
          <w:color w:val="000000"/>
          <w:kern w:val="0"/>
          <w:sz w:val="32"/>
          <w:szCs w:val="32"/>
        </w:rPr>
        <w:t>1055件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 xml:space="preserve">同比增长200%以上， </w:t>
      </w:r>
      <w:r>
        <w:rPr>
          <w:rFonts w:hint="eastAsia" w:ascii="仿宋_GB2312" w:hAnsi="宋体" w:eastAsia="仿宋_GB2312" w:cs="宋体"/>
          <w:color w:val="000000"/>
          <w:kern w:val="0"/>
          <w:sz w:val="32"/>
          <w:szCs w:val="32"/>
        </w:rPr>
        <w:t>授权</w:t>
      </w:r>
      <w:r>
        <w:rPr>
          <w:rFonts w:hint="eastAsia" w:ascii="仿宋_GB2312" w:hAnsi="宋体" w:eastAsia="仿宋_GB2312" w:cs="宋体"/>
          <w:color w:val="000000"/>
          <w:kern w:val="0"/>
          <w:sz w:val="32"/>
          <w:szCs w:val="32"/>
          <w:lang w:val="en-US" w:eastAsia="zh-CN"/>
        </w:rPr>
        <w:t>量</w:t>
      </w:r>
      <w:r>
        <w:rPr>
          <w:rFonts w:hint="eastAsia" w:ascii="仿宋_GB2312" w:hAnsi="宋体" w:eastAsia="仿宋_GB2312" w:cs="宋体"/>
          <w:color w:val="000000"/>
          <w:kern w:val="0"/>
          <w:sz w:val="32"/>
          <w:szCs w:val="32"/>
        </w:rPr>
        <w:t>483件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同比增长400%以上</w:t>
      </w:r>
      <w:r>
        <w:rPr>
          <w:rFonts w:hint="eastAsia" w:ascii="仿宋_GB2312" w:hAnsi="宋体" w:eastAsia="仿宋_GB2312" w:cs="宋体"/>
          <w:color w:val="000000"/>
          <w:kern w:val="0"/>
          <w:sz w:val="32"/>
          <w:szCs w:val="32"/>
        </w:rPr>
        <w:t>。快速授权的专利可助力企业快速占领市场，制约竞争对手，保障企业自主知识产权的增值收益。通过调研，</w:t>
      </w:r>
      <w:r>
        <w:rPr>
          <w:rFonts w:hint="eastAsia" w:ascii="仿宋_GB2312" w:hAnsi="宋体" w:eastAsia="仿宋_GB2312" w:cs="宋体"/>
          <w:color w:val="000000"/>
          <w:kern w:val="0"/>
          <w:sz w:val="32"/>
          <w:szCs w:val="32"/>
          <w:lang w:val="en-US" w:eastAsia="zh-CN"/>
        </w:rPr>
        <w:t>2018年至今，</w:t>
      </w:r>
      <w:r>
        <w:rPr>
          <w:rFonts w:hint="eastAsia" w:ascii="仿宋_GB2312" w:hAnsi="宋体" w:eastAsia="仿宋_GB2312" w:cs="宋体"/>
          <w:color w:val="000000"/>
          <w:kern w:val="0"/>
          <w:sz w:val="32"/>
          <w:szCs w:val="32"/>
        </w:rPr>
        <w:t>已获得快速授权的专利中</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0余项代表性专利，企业销售额增加值</w:t>
      </w:r>
      <w:r>
        <w:rPr>
          <w:rFonts w:hint="eastAsia" w:ascii="仿宋_GB2312" w:hAnsi="宋体" w:eastAsia="仿宋_GB2312" w:cs="宋体"/>
          <w:color w:val="000000"/>
          <w:kern w:val="0"/>
          <w:sz w:val="32"/>
          <w:szCs w:val="32"/>
          <w:lang w:val="en-US" w:eastAsia="zh-CN"/>
        </w:rPr>
        <w:t>45</w:t>
      </w:r>
      <w:r>
        <w:rPr>
          <w:rFonts w:hint="eastAsia" w:ascii="仿宋_GB2312" w:hAnsi="宋体" w:eastAsia="仿宋_GB2312" w:cs="宋体"/>
          <w:color w:val="000000"/>
          <w:kern w:val="0"/>
          <w:sz w:val="32"/>
          <w:szCs w:val="32"/>
        </w:rPr>
        <w:t>亿元左右</w:t>
      </w:r>
      <w:r>
        <w:rPr>
          <w:rFonts w:hint="eastAsia" w:ascii="仿宋_GB2312" w:hAnsi="宋体" w:eastAsia="仿宋_GB2312" w:cs="宋体"/>
          <w:color w:val="000000"/>
          <w:kern w:val="0"/>
          <w:sz w:val="32"/>
          <w:szCs w:val="32"/>
          <w:lang w:eastAsia="zh-CN"/>
        </w:rPr>
        <w:t>。</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六是</w:t>
      </w:r>
      <w:r>
        <w:rPr>
          <w:rFonts w:hint="default" w:ascii="仿宋_GB2312" w:hAnsi="宋体" w:eastAsia="仿宋_GB2312" w:cs="宋体"/>
          <w:color w:val="000000"/>
          <w:kern w:val="0"/>
          <w:sz w:val="32"/>
          <w:szCs w:val="32"/>
          <w:lang w:eastAsia="zh-CN"/>
        </w:rPr>
        <w:t>完善</w:t>
      </w:r>
      <w:r>
        <w:rPr>
          <w:rFonts w:hint="eastAsia" w:ascii="仿宋_GB2312" w:hAnsi="宋体" w:eastAsia="仿宋_GB2312" w:cs="宋体"/>
          <w:color w:val="000000"/>
          <w:kern w:val="0"/>
          <w:sz w:val="32"/>
          <w:szCs w:val="32"/>
          <w:lang w:val="en-US" w:eastAsia="zh-CN"/>
        </w:rPr>
        <w:t>知识产权公共服务体系。</w:t>
      </w:r>
      <w:r>
        <w:rPr>
          <w:rFonts w:hint="eastAsia" w:ascii="仿宋_GB2312" w:hAnsi="宋体" w:eastAsia="仿宋_GB2312" w:cs="宋体"/>
          <w:color w:val="000000"/>
          <w:kern w:val="0"/>
          <w:sz w:val="32"/>
          <w:szCs w:val="32"/>
        </w:rPr>
        <w:t>南昌大学获批为全国第二批高校国家知识产权信息服务中心</w:t>
      </w:r>
      <w:r>
        <w:rPr>
          <w:rFonts w:hint="default" w:ascii="仿宋_GB2312" w:hAnsi="宋体" w:eastAsia="仿宋_GB2312" w:cs="宋体"/>
          <w:color w:val="000000"/>
          <w:kern w:val="0"/>
          <w:sz w:val="32"/>
          <w:szCs w:val="32"/>
        </w:rPr>
        <w:t>。开发</w:t>
      </w:r>
      <w:r>
        <w:rPr>
          <w:rFonts w:hint="eastAsia" w:ascii="仿宋_GB2312" w:hAnsi="宋体" w:eastAsia="仿宋_GB2312" w:cs="宋体"/>
          <w:color w:val="000000"/>
          <w:kern w:val="0"/>
          <w:sz w:val="32"/>
          <w:szCs w:val="32"/>
          <w:lang w:val="en-US" w:eastAsia="zh-CN"/>
        </w:rPr>
        <w:t>了“南昌市知识产权奖励补助项目管理系统”</w:t>
      </w:r>
      <w:r>
        <w:rPr>
          <w:rFonts w:hint="default" w:ascii="仿宋_GB2312" w:hAnsi="宋体" w:eastAsia="仿宋_GB2312" w:cs="宋体"/>
          <w:color w:val="000000"/>
          <w:kern w:val="0"/>
          <w:sz w:val="32"/>
          <w:szCs w:val="32"/>
          <w:lang w:eastAsia="zh-CN"/>
        </w:rPr>
        <w:t>并</w:t>
      </w:r>
      <w:r>
        <w:rPr>
          <w:rFonts w:hint="eastAsia" w:ascii="仿宋_GB2312" w:hAnsi="宋体" w:eastAsia="仿宋_GB2312" w:cs="宋体"/>
          <w:color w:val="000000"/>
          <w:kern w:val="0"/>
          <w:sz w:val="32"/>
          <w:szCs w:val="32"/>
          <w:lang w:val="en-US" w:eastAsia="zh-CN"/>
        </w:rPr>
        <w:t>正式</w:t>
      </w:r>
      <w:r>
        <w:rPr>
          <w:rFonts w:hint="default" w:ascii="仿宋_GB2312" w:hAnsi="宋体" w:eastAsia="仿宋_GB2312" w:cs="宋体"/>
          <w:color w:val="000000"/>
          <w:kern w:val="0"/>
          <w:sz w:val="32"/>
          <w:szCs w:val="32"/>
          <w:lang w:eastAsia="zh-CN"/>
        </w:rPr>
        <w:t>上线，为</w:t>
      </w:r>
      <w:r>
        <w:rPr>
          <w:rFonts w:hint="eastAsia" w:ascii="仿宋_GB2312" w:hAnsi="宋体" w:eastAsia="仿宋_GB2312" w:cs="宋体"/>
          <w:color w:val="000000"/>
          <w:kern w:val="0"/>
          <w:sz w:val="32"/>
          <w:szCs w:val="32"/>
          <w:lang w:val="en-US" w:eastAsia="zh-CN"/>
        </w:rPr>
        <w:t>创新主体</w:t>
      </w:r>
      <w:r>
        <w:rPr>
          <w:rFonts w:hint="default" w:ascii="仿宋_GB2312" w:hAnsi="宋体" w:eastAsia="仿宋_GB2312" w:cs="宋体"/>
          <w:color w:val="000000"/>
          <w:kern w:val="0"/>
          <w:sz w:val="32"/>
          <w:szCs w:val="32"/>
          <w:lang w:eastAsia="zh-CN"/>
        </w:rPr>
        <w:t>申报知识产权奖补项目提供便利化服务。</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七</w:t>
      </w:r>
      <w:r>
        <w:rPr>
          <w:rFonts w:hint="eastAsia" w:ascii="仿宋_GB2312" w:hAnsi="宋体" w:eastAsia="仿宋_GB2312" w:cs="宋体"/>
          <w:color w:val="000000"/>
          <w:kern w:val="0"/>
          <w:sz w:val="32"/>
          <w:szCs w:val="32"/>
        </w:rPr>
        <w:t>是着力提升知识产权文化氛围。举办“</w:t>
      </w:r>
      <w:r>
        <w:rPr>
          <w:rFonts w:hint="eastAsia" w:ascii="仿宋_GB2312" w:hAnsi="宋体" w:eastAsia="仿宋_GB2312" w:cs="宋体"/>
          <w:color w:val="000000"/>
          <w:kern w:val="0"/>
          <w:sz w:val="32"/>
          <w:szCs w:val="32"/>
          <w:lang w:val="en-US" w:eastAsia="zh-CN"/>
        </w:rPr>
        <w:t>知识产权与健康中国</w:t>
      </w:r>
      <w:r>
        <w:rPr>
          <w:rFonts w:hint="eastAsia" w:ascii="仿宋_GB2312" w:hAnsi="宋体" w:eastAsia="仿宋_GB2312" w:cs="宋体"/>
          <w:color w:val="000000"/>
          <w:kern w:val="0"/>
          <w:sz w:val="32"/>
          <w:szCs w:val="32"/>
        </w:rPr>
        <w:t>”为主题的</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南昌市知识产权创造运用保护新闻发布会</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通过此次</w:t>
      </w:r>
      <w:r>
        <w:rPr>
          <w:rFonts w:hint="eastAsia" w:ascii="仿宋_GB2312" w:hAnsi="宋体" w:eastAsia="仿宋_GB2312" w:cs="宋体"/>
          <w:color w:val="000000"/>
          <w:kern w:val="0"/>
          <w:sz w:val="32"/>
          <w:szCs w:val="32"/>
          <w:lang w:val="en-US" w:eastAsia="zh-CN"/>
        </w:rPr>
        <w:t>发布会</w:t>
      </w:r>
      <w:r>
        <w:rPr>
          <w:rFonts w:hint="eastAsia" w:ascii="仿宋_GB2312" w:hAnsi="宋体" w:eastAsia="仿宋_GB2312" w:cs="宋体"/>
          <w:color w:val="000000"/>
          <w:kern w:val="0"/>
          <w:sz w:val="32"/>
          <w:szCs w:val="32"/>
        </w:rPr>
        <w:t>，展示了</w:t>
      </w:r>
      <w:r>
        <w:rPr>
          <w:rFonts w:hint="eastAsia" w:ascii="仿宋_GB2312" w:hAnsi="宋体" w:eastAsia="仿宋_GB2312" w:cs="宋体"/>
          <w:color w:val="000000"/>
          <w:kern w:val="0"/>
          <w:sz w:val="32"/>
          <w:szCs w:val="32"/>
          <w:lang w:val="en-US" w:eastAsia="zh-CN"/>
        </w:rPr>
        <w:t>2019年以来和今年疫情期间</w:t>
      </w:r>
      <w:r>
        <w:rPr>
          <w:rFonts w:hint="eastAsia" w:ascii="仿宋_GB2312" w:hAnsi="宋体" w:eastAsia="仿宋_GB2312" w:cs="宋体"/>
          <w:color w:val="000000"/>
          <w:kern w:val="0"/>
          <w:sz w:val="32"/>
          <w:szCs w:val="32"/>
        </w:rPr>
        <w:t>我市知识产权工作的进展和成绩</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为加强疫情期间知识产权服务，助力企业复工复产，</w:t>
      </w:r>
      <w:r>
        <w:rPr>
          <w:rFonts w:hint="eastAsia" w:ascii="仿宋_GB2312" w:hAnsi="宋体" w:eastAsia="仿宋_GB2312" w:cs="宋体"/>
          <w:color w:val="000000"/>
          <w:kern w:val="0"/>
          <w:sz w:val="32"/>
          <w:szCs w:val="32"/>
          <w:lang w:val="en-US" w:eastAsia="zh-CN"/>
        </w:rPr>
        <w:t>市县联动启动“知识产权服务万里行”活动。</w:t>
      </w:r>
      <w:r>
        <w:rPr>
          <w:rFonts w:hint="eastAsia" w:ascii="仿宋_GB2312" w:hAnsi="宋体" w:eastAsia="仿宋_GB2312" w:cs="宋体"/>
          <w:color w:val="000000"/>
          <w:kern w:val="0"/>
          <w:sz w:val="32"/>
          <w:szCs w:val="32"/>
        </w:rPr>
        <w:t>我局联合华东交通大学-江西省知识产权学院开通“南昌知识产权强市强企培训班”远程教育培训专线,免费开放专利申请、专利信息利用、专利导航、专利侵权分析、商标法、知识产权运营等9门知识产权远程教育课程，内容涵盖知识产权创造、运用、保护、管理和服务等方面。</w:t>
      </w:r>
    </w:p>
    <w:p>
      <w:pPr>
        <w:spacing w:line="560" w:lineRule="exact"/>
        <w:ind w:firstLine="643" w:firstLineChars="20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（二）存在的问题</w:t>
      </w:r>
    </w:p>
    <w:p>
      <w:pPr>
        <w:widowControl/>
        <w:spacing w:line="560" w:lineRule="exact"/>
        <w:ind w:firstLine="640" w:firstLineChars="200"/>
        <w:rPr>
          <w:rFonts w:hint="default" w:ascii="仿宋_GB2312" w:hAnsi="仿宋_GB2312" w:eastAsia="仿宋_GB2312" w:cs="仿宋_GB2312"/>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rPr>
        <w:t>一是由于</w:t>
      </w:r>
      <w:r>
        <w:rPr>
          <w:rFonts w:hint="eastAsia" w:ascii="仿宋_GB2312" w:eastAsia="仿宋_GB2312"/>
          <w:sz w:val="32"/>
          <w:szCs w:val="32"/>
          <w:highlight w:val="none"/>
        </w:rPr>
        <w:t>机构改革，市县两级知识产权人员变动较大，人员对知识产权工作还需要学习了解，</w:t>
      </w:r>
      <w:r>
        <w:rPr>
          <w:rFonts w:hint="eastAsia" w:ascii="仿宋_GB2312" w:hAnsi="仿宋_GB2312" w:eastAsia="仿宋_GB2312" w:cs="仿宋_GB2312"/>
          <w:sz w:val="30"/>
          <w:szCs w:val="30"/>
          <w:highlight w:val="none"/>
        </w:rPr>
        <w:t>特别是面对知识产权遇到的新情况、新问题，比如知识产权运营、质押融资等工作，</w:t>
      </w:r>
      <w:r>
        <w:rPr>
          <w:rFonts w:ascii="仿宋_GB2312" w:hAnsi="仿宋_GB2312" w:eastAsia="仿宋_GB2312" w:cs="仿宋_GB2312"/>
          <w:sz w:val="30"/>
          <w:szCs w:val="30"/>
          <w:highlight w:val="none"/>
        </w:rPr>
        <w:t>很难满足新形势下知识产权事业发展需求。</w:t>
      </w:r>
      <w:r>
        <w:rPr>
          <w:rFonts w:hint="eastAsia" w:ascii="仿宋_GB2312" w:hAnsi="仿宋_GB2312" w:eastAsia="仿宋_GB2312" w:cs="仿宋_GB2312"/>
          <w:sz w:val="30"/>
          <w:szCs w:val="30"/>
          <w:highlight w:val="none"/>
        </w:rPr>
        <w:t>二是</w:t>
      </w:r>
      <w:r>
        <w:rPr>
          <w:rFonts w:hint="eastAsia" w:ascii="仿宋_GB2312" w:hAnsi="仿宋_GB2312" w:eastAsia="仿宋_GB2312" w:cs="仿宋_GB2312"/>
          <w:color w:val="000000"/>
          <w:kern w:val="0"/>
          <w:sz w:val="32"/>
          <w:szCs w:val="32"/>
          <w:highlight w:val="none"/>
        </w:rPr>
        <w:t>在目标设定方面，针对项目资金的目标实现，由于部分项目本身属于日常运行经费类的资金，涉及难以量化的因素，部分定性与定量指标匹配缺乏可衡量性和时效性</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导致成本变动率过高。</w:t>
      </w:r>
    </w:p>
    <w:p>
      <w:pPr>
        <w:spacing w:line="560" w:lineRule="exact"/>
        <w:ind w:firstLine="643" w:firstLineChars="20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（三）改进措施</w:t>
      </w:r>
    </w:p>
    <w:p>
      <w:pPr>
        <w:pStyle w:val="2"/>
        <w:ind w:firstLine="640" w:firstLineChars="200"/>
      </w:pPr>
      <w:r>
        <w:rPr>
          <w:rFonts w:hint="eastAsia" w:ascii="仿宋_GB2312" w:hAnsi="仿宋_GB2312" w:eastAsia="仿宋_GB2312" w:cs="仿宋_GB2312"/>
          <w:sz w:val="32"/>
          <w:szCs w:val="32"/>
          <w:highlight w:val="none"/>
          <w:lang w:val="en-US" w:eastAsia="zh-CN"/>
        </w:rPr>
        <w:t>一是举办知识产权业务培训班</w:t>
      </w:r>
      <w:r>
        <w:rPr>
          <w:rFonts w:hint="eastAsia" w:ascii="仿宋_GB2312" w:hAnsi="仿宋_GB2312" w:cs="仿宋_GB2312"/>
          <w:sz w:val="32"/>
          <w:szCs w:val="32"/>
          <w:highlight w:val="none"/>
          <w:lang w:val="en-US" w:eastAsia="zh-CN"/>
        </w:rPr>
        <w:t>。</w:t>
      </w:r>
      <w:r>
        <w:rPr>
          <w:rFonts w:hint="eastAsia"/>
        </w:rPr>
        <w:t>结合工作实际，有针对性的开展知识产权相关业务培训，提升基层队伍服务能力。</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二是</w:t>
      </w:r>
      <w:r>
        <w:rPr>
          <w:rFonts w:hint="eastAsia" w:ascii="仿宋_GB2312" w:hAnsi="仿宋_GB2312" w:eastAsia="仿宋_GB2312" w:cs="仿宋_GB2312"/>
          <w:sz w:val="32"/>
          <w:szCs w:val="32"/>
          <w:highlight w:val="none"/>
        </w:rPr>
        <w:t>提高预算的准确性。预算编制前根据年度内单位可预见的工作任务，确定单位年度预算目标，细化预算指标，科学合理编制部门预算，推进预算编制科学化、准确化。年度预算编制后，根据实际情况，加强成本控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定期做好预算执行分析，掌握预算执行进度，及时找出预算实际执行情况与预算目标之间存在的差距，纠正偏差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为下一次科学、准确地编制部门预算积累经验。</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是</w:t>
      </w:r>
      <w:r>
        <w:rPr>
          <w:rFonts w:hint="eastAsia" w:ascii="仿宋" w:hAnsi="仿宋" w:eastAsia="仿宋"/>
          <w:sz w:val="32"/>
          <w:szCs w:val="32"/>
        </w:rPr>
        <w:t>进一步修订完善《南昌市知识产权专项资金管理办法》和《南昌市知识产权专项资金项目管理办法》，调整授权专利奖励的资助范围</w:t>
      </w:r>
      <w:r>
        <w:rPr>
          <w:rFonts w:hint="eastAsia" w:ascii="仿宋" w:hAnsi="仿宋" w:eastAsia="仿宋"/>
          <w:sz w:val="32"/>
          <w:szCs w:val="32"/>
          <w:lang w:eastAsia="zh-CN"/>
        </w:rPr>
        <w:t>。</w:t>
      </w:r>
      <w:r>
        <w:rPr>
          <w:rFonts w:hint="eastAsia" w:ascii="仿宋" w:hAnsi="仿宋" w:eastAsia="仿宋"/>
          <w:sz w:val="32"/>
          <w:szCs w:val="32"/>
        </w:rPr>
        <w:t>增加</w:t>
      </w:r>
      <w:r>
        <w:rPr>
          <w:rFonts w:hint="eastAsia" w:ascii="仿宋" w:hAnsi="仿宋" w:eastAsia="仿宋"/>
          <w:sz w:val="32"/>
          <w:szCs w:val="32"/>
          <w:lang w:val="en-US" w:eastAsia="zh-CN"/>
        </w:rPr>
        <w:t>专利奖、</w:t>
      </w:r>
      <w:r>
        <w:rPr>
          <w:rFonts w:hint="eastAsia" w:ascii="仿宋" w:hAnsi="仿宋" w:eastAsia="仿宋"/>
          <w:sz w:val="32"/>
          <w:szCs w:val="32"/>
        </w:rPr>
        <w:t>知识产权试点示范学校培育等各项新内容，为知识产权工作开展提供政策和资金保障。</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四是</w:t>
      </w:r>
      <w:r>
        <w:rPr>
          <w:rFonts w:hint="eastAsia" w:ascii="仿宋_GB2312" w:hAnsi="仿宋_GB2312" w:eastAsia="仿宋_GB2312" w:cs="仿宋_GB2312"/>
          <w:sz w:val="32"/>
          <w:szCs w:val="32"/>
          <w:highlight w:val="none"/>
        </w:rPr>
        <w:t>提升知识产权文化氛围。今年对全市科技型企业组织一次全面摸底，建立企业数据库，市县两级采取点对点的方式对所有科技型企业进行上门服务。同时继续开展“知识产权服务万里行”“百企行•知识产权保护定制化服务”，宣讲政策，做好指导帮扶。利用我市转作风优环境活动年契机，召开相关企业座谈会，听取企业对奖励政策、优化手续等方面建议，进一步优化政策，保障政策落地，为企业提供便利化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提高公众知识产权意识</w:t>
      </w:r>
      <w:r>
        <w:rPr>
          <w:rFonts w:hint="eastAsia" w:ascii="仿宋_GB2312" w:hAnsi="仿宋_GB2312" w:eastAsia="仿宋_GB2312" w:cs="仿宋_GB2312"/>
          <w:sz w:val="32"/>
          <w:szCs w:val="32"/>
          <w:highlight w:val="none"/>
        </w:rPr>
        <w:t>。</w:t>
      </w:r>
    </w:p>
    <w:p>
      <w:pPr>
        <w:numPr>
          <w:ilvl w:val="0"/>
          <w:numId w:val="0"/>
        </w:numPr>
        <w:spacing w:line="560" w:lineRule="exact"/>
        <w:ind w:left="630" w:leftChars="0"/>
        <w:rPr>
          <w:rFonts w:hint="eastAsia" w:ascii="黑体" w:hAnsi="仿宋_GB2312" w:eastAsia="黑体" w:cs="仿宋_GB2312"/>
          <w:bCs/>
          <w:sz w:val="32"/>
          <w:szCs w:val="32"/>
          <w:highlight w:val="none"/>
        </w:rPr>
      </w:pPr>
      <w:r>
        <w:rPr>
          <w:rFonts w:hint="eastAsia" w:ascii="黑体" w:hAnsi="仿宋_GB2312" w:eastAsia="黑体" w:cs="仿宋_GB2312"/>
          <w:bCs/>
          <w:sz w:val="32"/>
          <w:szCs w:val="32"/>
          <w:highlight w:val="none"/>
          <w:lang w:val="en-US" w:eastAsia="zh-CN"/>
        </w:rPr>
        <w:t>六、</w:t>
      </w:r>
      <w:r>
        <w:rPr>
          <w:rFonts w:hint="eastAsia" w:ascii="黑体" w:hAnsi="仿宋_GB2312" w:eastAsia="黑体" w:cs="仿宋_GB2312"/>
          <w:bCs/>
          <w:sz w:val="32"/>
          <w:szCs w:val="32"/>
          <w:highlight w:val="none"/>
        </w:rPr>
        <w:t>绩效评价结果应用建议</w:t>
      </w:r>
    </w:p>
    <w:p>
      <w:pPr>
        <w:spacing w:line="560" w:lineRule="exact"/>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sz w:val="32"/>
          <w:szCs w:val="32"/>
          <w:highlight w:val="none"/>
        </w:rPr>
        <w:t>逐步扩大绩效管理范围。在绩效目标管理方面，继续探索实施单位整体支出绩效目标管理，施行整体支出评价。在项目绩效评价方面，逐步增加评价项目数量和项目支出数额占比。建立绩效评价结果的反馈与整改、激励与问责制度，进一步完善绩效评价结果的反馈和运用机制，将绩效结果向社会逐步公布。将评价结果作为安排以后年度预算的重要依据，将一些绩效评价结果不好的项目取消，对执行不力的单位的预算要进行相应削减，切实发挥绩效评价工作的应有作用。</w:t>
      </w:r>
    </w:p>
    <w:p>
      <w:pPr>
        <w:spacing w:line="560" w:lineRule="exact"/>
        <w:ind w:firstLine="640" w:firstLineChars="200"/>
        <w:rPr>
          <w:rFonts w:ascii="黑体" w:hAnsi="仿宋_GB2312" w:eastAsia="黑体" w:cs="仿宋_GB2312"/>
          <w:bCs/>
          <w:sz w:val="32"/>
          <w:szCs w:val="32"/>
          <w:highlight w:val="none"/>
        </w:rPr>
      </w:pPr>
      <w:r>
        <w:rPr>
          <w:rFonts w:hint="eastAsia" w:ascii="黑体" w:hAnsi="仿宋_GB2312" w:eastAsia="黑体" w:cs="仿宋_GB2312"/>
          <w:bCs/>
          <w:sz w:val="32"/>
          <w:szCs w:val="32"/>
          <w:highlight w:val="none"/>
        </w:rPr>
        <w:t>七、其他需说明的问题</w:t>
      </w:r>
    </w:p>
    <w:p>
      <w:pPr>
        <w:spacing w:line="600" w:lineRule="exact"/>
        <w:ind w:firstLine="1280" w:firstLineChars="400"/>
        <w:rPr>
          <w:rFonts w:hint="eastAsia" w:ascii="黑体" w:hAnsi="黑体" w:eastAsia="黑体"/>
          <w:color w:val="000000"/>
          <w:sz w:val="32"/>
          <w:szCs w:val="32"/>
          <w:highlight w:val="none"/>
        </w:rPr>
      </w:pPr>
      <w:r>
        <w:rPr>
          <w:rFonts w:hint="eastAsia" w:ascii="仿宋" w:hAnsi="仿宋" w:eastAsia="仿宋" w:cs="仿宋"/>
          <w:sz w:val="32"/>
          <w:szCs w:val="32"/>
          <w:highlight w:val="none"/>
          <w:lang w:val="en-US" w:eastAsia="zh-CN"/>
        </w:rPr>
        <w:t>无。</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998AA"/>
    <w:multiLevelType w:val="singleLevel"/>
    <w:tmpl w:val="920998AA"/>
    <w:lvl w:ilvl="0" w:tentative="0">
      <w:start w:val="1"/>
      <w:numFmt w:val="decimal"/>
      <w:lvlText w:val="%1."/>
      <w:lvlJc w:val="left"/>
      <w:pPr>
        <w:tabs>
          <w:tab w:val="left" w:pos="312"/>
        </w:tabs>
      </w:pPr>
    </w:lvl>
  </w:abstractNum>
  <w:abstractNum w:abstractNumId="1">
    <w:nsid w:val="CD201B56"/>
    <w:multiLevelType w:val="singleLevel"/>
    <w:tmpl w:val="CD201B56"/>
    <w:lvl w:ilvl="0" w:tentative="0">
      <w:start w:val="1"/>
      <w:numFmt w:val="decimal"/>
      <w:suff w:val="nothing"/>
      <w:lvlText w:val="（%1）"/>
      <w:lvlJc w:val="left"/>
    </w:lvl>
  </w:abstractNum>
  <w:abstractNum w:abstractNumId="2">
    <w:nsid w:val="D5E26B6A"/>
    <w:multiLevelType w:val="singleLevel"/>
    <w:tmpl w:val="D5E26B6A"/>
    <w:lvl w:ilvl="0" w:tentative="0">
      <w:start w:val="1"/>
      <w:numFmt w:val="chineseCounting"/>
      <w:suff w:val="nothing"/>
      <w:lvlText w:val="（%1）"/>
      <w:lvlJc w:val="left"/>
      <w:rPr>
        <w:rFonts w:hint="eastAsia"/>
      </w:rPr>
    </w:lvl>
  </w:abstractNum>
  <w:abstractNum w:abstractNumId="3">
    <w:nsid w:val="EF53EDD7"/>
    <w:multiLevelType w:val="singleLevel"/>
    <w:tmpl w:val="EF53EDD7"/>
    <w:lvl w:ilvl="0" w:tentative="0">
      <w:start w:val="1"/>
      <w:numFmt w:val="chineseCounting"/>
      <w:suff w:val="nothing"/>
      <w:lvlText w:val="%1、"/>
      <w:lvlJc w:val="left"/>
      <w:rPr>
        <w:rFonts w:hint="eastAsia"/>
      </w:rPr>
    </w:lvl>
  </w:abstractNum>
  <w:abstractNum w:abstractNumId="4">
    <w:nsid w:val="0604E053"/>
    <w:multiLevelType w:val="singleLevel"/>
    <w:tmpl w:val="0604E053"/>
    <w:lvl w:ilvl="0" w:tentative="0">
      <w:start w:val="2"/>
      <w:numFmt w:val="decimal"/>
      <w:suff w:val="nothing"/>
      <w:lvlText w:val="%1．"/>
      <w:lvlJc w:val="left"/>
    </w:lvl>
  </w:abstractNum>
  <w:abstractNum w:abstractNumId="5">
    <w:nsid w:val="1C4CBD9E"/>
    <w:multiLevelType w:val="singleLevel"/>
    <w:tmpl w:val="1C4CBD9E"/>
    <w:lvl w:ilvl="0" w:tentative="0">
      <w:start w:val="2"/>
      <w:numFmt w:val="decimal"/>
      <w:suff w:val="nothing"/>
      <w:lvlText w:val="%1）"/>
      <w:lvlJc w:val="left"/>
    </w:lvl>
  </w:abstractNum>
  <w:abstractNum w:abstractNumId="6">
    <w:nsid w:val="54D856F0"/>
    <w:multiLevelType w:val="singleLevel"/>
    <w:tmpl w:val="54D856F0"/>
    <w:lvl w:ilvl="0" w:tentative="0">
      <w:start w:val="5"/>
      <w:numFmt w:val="chineseCounting"/>
      <w:suff w:val="nothing"/>
      <w:lvlText w:val="%1、"/>
      <w:lvlJc w:val="left"/>
      <w:rPr>
        <w:rFonts w:hint="eastAsia"/>
      </w:rPr>
    </w:lvl>
  </w:abstractNum>
  <w:abstractNum w:abstractNumId="7">
    <w:nsid w:val="56179E67"/>
    <w:multiLevelType w:val="singleLevel"/>
    <w:tmpl w:val="56179E67"/>
    <w:lvl w:ilvl="0" w:tentative="0">
      <w:start w:val="1"/>
      <w:numFmt w:val="decimal"/>
      <w:suff w:val="nothing"/>
      <w:lvlText w:val="（%1）"/>
      <w:lvlJc w:val="left"/>
    </w:lvl>
  </w:abstractNum>
  <w:num w:numId="1">
    <w:abstractNumId w:val="3"/>
  </w:num>
  <w:num w:numId="2">
    <w:abstractNumId w:val="4"/>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31518"/>
    <w:rsid w:val="00726163"/>
    <w:rsid w:val="015F686B"/>
    <w:rsid w:val="068A0A9F"/>
    <w:rsid w:val="075E0E7D"/>
    <w:rsid w:val="083B6522"/>
    <w:rsid w:val="097B17DD"/>
    <w:rsid w:val="0B6A7DDC"/>
    <w:rsid w:val="0D2D3691"/>
    <w:rsid w:val="0DEE3070"/>
    <w:rsid w:val="1216201F"/>
    <w:rsid w:val="13AB71E3"/>
    <w:rsid w:val="13E970D7"/>
    <w:rsid w:val="15C82C13"/>
    <w:rsid w:val="18174002"/>
    <w:rsid w:val="1B0A687C"/>
    <w:rsid w:val="1C115320"/>
    <w:rsid w:val="1D285A80"/>
    <w:rsid w:val="1D870024"/>
    <w:rsid w:val="1E026F33"/>
    <w:rsid w:val="1E08572A"/>
    <w:rsid w:val="21AC2B01"/>
    <w:rsid w:val="22252254"/>
    <w:rsid w:val="23792EFB"/>
    <w:rsid w:val="245F2C90"/>
    <w:rsid w:val="24A15EFA"/>
    <w:rsid w:val="25C25757"/>
    <w:rsid w:val="26643010"/>
    <w:rsid w:val="27C167B5"/>
    <w:rsid w:val="285B0BF9"/>
    <w:rsid w:val="287122C5"/>
    <w:rsid w:val="2B2F59D8"/>
    <w:rsid w:val="2B752F69"/>
    <w:rsid w:val="2D0D3CE6"/>
    <w:rsid w:val="2D197DE5"/>
    <w:rsid w:val="2D2B4BCF"/>
    <w:rsid w:val="3048651D"/>
    <w:rsid w:val="31B61C41"/>
    <w:rsid w:val="34875431"/>
    <w:rsid w:val="35CA5F72"/>
    <w:rsid w:val="35D65052"/>
    <w:rsid w:val="3AD805CE"/>
    <w:rsid w:val="3BC92957"/>
    <w:rsid w:val="3DB15A6B"/>
    <w:rsid w:val="3F07261F"/>
    <w:rsid w:val="46D352A6"/>
    <w:rsid w:val="4A0E5F52"/>
    <w:rsid w:val="4FA31518"/>
    <w:rsid w:val="50171D24"/>
    <w:rsid w:val="50BE52B9"/>
    <w:rsid w:val="527118BC"/>
    <w:rsid w:val="540B487B"/>
    <w:rsid w:val="55EE4B37"/>
    <w:rsid w:val="56E73D3B"/>
    <w:rsid w:val="570A14B2"/>
    <w:rsid w:val="57AD0BCC"/>
    <w:rsid w:val="57DF7D06"/>
    <w:rsid w:val="59D52C5A"/>
    <w:rsid w:val="5C7E5C32"/>
    <w:rsid w:val="5D0C319E"/>
    <w:rsid w:val="5E052468"/>
    <w:rsid w:val="5F73097A"/>
    <w:rsid w:val="60425189"/>
    <w:rsid w:val="648A51C2"/>
    <w:rsid w:val="64A43A50"/>
    <w:rsid w:val="65D26BE7"/>
    <w:rsid w:val="672B1877"/>
    <w:rsid w:val="673E3CAD"/>
    <w:rsid w:val="6C133725"/>
    <w:rsid w:val="6C4A49E4"/>
    <w:rsid w:val="6D6F6A41"/>
    <w:rsid w:val="75E73242"/>
    <w:rsid w:val="76D1177B"/>
    <w:rsid w:val="77754EE1"/>
    <w:rsid w:val="7F14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2021-03-31T01:39:00Z</dcterms:created>
  <dc:creator>WPS_1572750133</dc:creator>
  <cp:lastModifiedBy>阿坤</cp:lastModifiedBy>
  <dcterms:modified xsi:type="dcterms:W3CDTF">2021-08-18T07:00:18Z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9FC605E6DCF448059E139EDB180FA514</vt:lpwstr>
  </property>
</Properties>
</file>