
<file path=[Content_Types].xml><?xml version="1.0" encoding="utf-8"?>
<Types xmlns="http://schemas.openxmlformats.org/package/2006/content-types">
  <Default Extension="xml" ContentType="application/xml"/>
  <Default Extension="jpeg" ContentType="image/jpeg"/>
  <Default Extension="JPG" ContentType="image/.jp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点击此处添加ICS号</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lang w:eastAsia="zh-CN"/>
              </w:rPr>
              <w:t>3</w:t>
            </w:r>
            <w:r>
              <w:rPr>
                <w:rFonts w:hint="eastAsia"/>
                <w:lang w:val="en-US" w:eastAsia="zh-CN"/>
              </w:rPr>
              <w:t>601</w:t>
            </w:r>
            <w:r>
              <w:fldChar w:fldCharType="end"/>
            </w:r>
            <w:bookmarkEnd w:id="3"/>
          </w:p>
        </w:tc>
      </w:tr>
    </w:tbl>
    <w:p>
      <w:pPr>
        <w:pStyle w:val="50"/>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南昌市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XX/T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hAnchor="page" w:y="6408"/>
        <w:jc w:val="center"/>
        <w:rPr>
          <w:rFonts w:ascii="黑体" w:hAnsi="黑体" w:eastAsia="黑体"/>
          <w:b w:val="0"/>
          <w:bCs w:val="0"/>
          <w:w w:val="100"/>
        </w:rPr>
      </w:pPr>
    </w:p>
    <w:p>
      <w:pPr>
        <w:pStyle w:val="197"/>
        <w:framePr w:h="6974" w:hRule="exact"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农村敬老院运营管理规范</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     </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1"/>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南昌市市场监督管理局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1"/>
        <w:spacing w:after="468"/>
        <w:rPr>
          <w:rFonts w:hint="eastAsia"/>
        </w:rPr>
      </w:pPr>
      <w:bookmarkStart w:id="100" w:name="_GoBack"/>
      <w:bookmarkEnd w:id="100"/>
      <w:bookmarkStart w:id="21" w:name="BookMark1"/>
      <w:bookmarkStart w:id="22" w:name="_Toc81409856"/>
      <w:bookmarkStart w:id="23" w:name="_Toc75893584"/>
      <w:bookmarkStart w:id="24" w:name="_Toc80351674"/>
      <w:bookmarkStart w:id="25" w:name="_Toc80734418"/>
      <w:bookmarkStart w:id="26" w:name="_Toc80350135"/>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w:instrText>
      </w:r>
      <w:r>
        <w:fldChar w:fldCharType="separate"/>
      </w:r>
      <w:r>
        <w:fldChar w:fldCharType="begin"/>
      </w:r>
      <w:r>
        <w:instrText xml:space="preserve"> HYPERLINK \l "_Toc81422643" </w:instrText>
      </w:r>
      <w:r>
        <w:fldChar w:fldCharType="separate"/>
      </w:r>
      <w:r>
        <w:rPr>
          <w:rStyle w:val="32"/>
        </w:rPr>
        <w:t>前言</w:t>
      </w:r>
      <w:r>
        <w:tab/>
      </w:r>
      <w:r>
        <w:fldChar w:fldCharType="begin"/>
      </w:r>
      <w:r>
        <w:instrText xml:space="preserve"> PAGEREF _Toc81422643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"_Toc81422644" </w:instrText>
      </w:r>
      <w:r>
        <w:fldChar w:fldCharType="separate"/>
      </w:r>
      <w:r>
        <w:rPr>
          <w:rStyle w:val="32"/>
        </w:rPr>
        <w:t>1  范围</w:t>
      </w:r>
      <w:r>
        <w:tab/>
      </w:r>
      <w:r>
        <w:fldChar w:fldCharType="begin"/>
      </w:r>
      <w:r>
        <w:instrText xml:space="preserve"> PAGEREF _Toc81422644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"_Toc81422645" </w:instrText>
      </w:r>
      <w:r>
        <w:fldChar w:fldCharType="separate"/>
      </w:r>
      <w:r>
        <w:rPr>
          <w:rStyle w:val="32"/>
        </w:rPr>
        <w:t>2  规范性引用文件</w:t>
      </w:r>
      <w:r>
        <w:tab/>
      </w:r>
      <w:r>
        <w:fldChar w:fldCharType="begin"/>
      </w:r>
      <w:r>
        <w:instrText xml:space="preserve"> PAGEREF _Toc81422645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"_Toc81422646" </w:instrText>
      </w:r>
      <w:r>
        <w:fldChar w:fldCharType="separate"/>
      </w:r>
      <w:r>
        <w:rPr>
          <w:rStyle w:val="32"/>
        </w:rPr>
        <w:t>3  术语和定义</w:t>
      </w:r>
      <w:r>
        <w:tab/>
      </w:r>
      <w:r>
        <w:fldChar w:fldCharType="begin"/>
      </w:r>
      <w:r>
        <w:instrText xml:space="preserve"> PAGEREF _Toc81422646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"_Toc81422647" </w:instrText>
      </w:r>
      <w:r>
        <w:fldChar w:fldCharType="separate"/>
      </w:r>
      <w:r>
        <w:rPr>
          <w:rStyle w:val="32"/>
        </w:rPr>
        <w:t>4  机构要求</w:t>
      </w:r>
      <w:r>
        <w:tab/>
      </w:r>
      <w:r>
        <w:fldChar w:fldCharType="begin"/>
      </w:r>
      <w:r>
        <w:instrText xml:space="preserve"> PAGEREF _Toc81422647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"_Toc81422648" </w:instrText>
      </w:r>
      <w:r>
        <w:fldChar w:fldCharType="separate"/>
      </w:r>
      <w:r>
        <w:rPr>
          <w:rStyle w:val="32"/>
        </w:rPr>
        <w:t>5  服务对象管理</w:t>
      </w:r>
      <w:r>
        <w:tab/>
      </w:r>
      <w:r>
        <w:fldChar w:fldCharType="begin"/>
      </w:r>
      <w:r>
        <w:instrText xml:space="preserve"> PAGEREF _Toc81422648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"_Toc81422649" </w:instrText>
      </w:r>
      <w:r>
        <w:fldChar w:fldCharType="separate"/>
      </w:r>
      <w:r>
        <w:rPr>
          <w:rStyle w:val="32"/>
        </w:rPr>
        <w:t>6  组织管理</w:t>
      </w:r>
      <w:r>
        <w:tab/>
      </w:r>
      <w:r>
        <w:fldChar w:fldCharType="begin"/>
      </w:r>
      <w:r>
        <w:instrText xml:space="preserve"> PAGEREF _Toc81422649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"_Toc81422650" </w:instrText>
      </w:r>
      <w:r>
        <w:fldChar w:fldCharType="separate"/>
      </w:r>
      <w:r>
        <w:rPr>
          <w:rStyle w:val="32"/>
        </w:rPr>
        <w:t>7  行政管理</w:t>
      </w:r>
      <w:r>
        <w:tab/>
      </w:r>
      <w:r>
        <w:fldChar w:fldCharType="begin"/>
      </w:r>
      <w:r>
        <w:instrText xml:space="preserve"> PAGEREF _Toc81422650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"_Toc81422651" </w:instrText>
      </w:r>
      <w:r>
        <w:fldChar w:fldCharType="separate"/>
      </w:r>
      <w:r>
        <w:rPr>
          <w:rStyle w:val="32"/>
        </w:rPr>
        <w:t>8  后勤管理</w:t>
      </w:r>
      <w:r>
        <w:tab/>
      </w:r>
      <w:r>
        <w:fldChar w:fldCharType="begin"/>
      </w:r>
      <w:r>
        <w:instrText xml:space="preserve"> PAGEREF _Toc81422651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"_Toc81422652" </w:instrText>
      </w:r>
      <w:r>
        <w:fldChar w:fldCharType="separate"/>
      </w:r>
      <w:r>
        <w:rPr>
          <w:rStyle w:val="32"/>
        </w:rPr>
        <w:t>9  服务管理</w:t>
      </w:r>
      <w:r>
        <w:tab/>
      </w:r>
      <w:r>
        <w:fldChar w:fldCharType="begin"/>
      </w:r>
      <w:r>
        <w:instrText xml:space="preserve"> PAGEREF _Toc81422652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"_Toc81422653" </w:instrText>
      </w:r>
      <w:r>
        <w:fldChar w:fldCharType="separate"/>
      </w:r>
      <w:r>
        <w:rPr>
          <w:rStyle w:val="32"/>
        </w:rPr>
        <w:t>10  安全管理</w:t>
      </w:r>
      <w:r>
        <w:tab/>
      </w:r>
      <w:r>
        <w:fldChar w:fldCharType="begin"/>
      </w:r>
      <w:r>
        <w:instrText xml:space="preserve"> PAGEREF _Toc81422653 \h </w:instrText>
      </w:r>
      <w:r>
        <w:fldChar w:fldCharType="separate"/>
      </w:r>
      <w:r>
        <w:t>4</w:t>
      </w:r>
      <w:r>
        <w:fldChar w:fldCharType="end"/>
      </w:r>
      <w:r>
        <w:fldChar w:fldCharType="end"/>
      </w:r>
    </w:p>
    <w:p>
      <w:pPr>
        <w:pStyle w:val="91"/>
        <w:spacing w:after="468"/>
        <w:sectPr>
          <w:headerReference r:id="rId11" w:type="default"/>
          <w:footerReference r:id="rId13" w:type="default"/>
          <w:headerReference r:id="rId12" w:type="even"/>
          <w:pgSz w:w="11906" w:h="16838"/>
          <w:pgMar w:top="2410" w:right="1134" w:bottom="1134" w:left="1134" w:header="1418" w:footer="1134" w:gutter="284"/>
          <w:pgNumType w:fmt="upperRoman" w:start="1"/>
          <w:cols w:space="425" w:num="1"/>
          <w:formProt w:val="0"/>
          <w:docGrid w:type="lines" w:linePitch="312" w:charSpace="0"/>
        </w:sectPr>
      </w:pPr>
      <w:r>
        <w:fldChar w:fldCharType="end"/>
      </w:r>
    </w:p>
    <w:bookmarkEnd w:id="21"/>
    <w:p>
      <w:pPr>
        <w:pStyle w:val="89"/>
        <w:spacing w:after="468"/>
      </w:pPr>
      <w:bookmarkStart w:id="27" w:name="_Toc81422643"/>
      <w:bookmarkStart w:id="28" w:name="BookMark2"/>
      <w:r>
        <w:rPr>
          <w:spacing w:val="320"/>
        </w:rPr>
        <w:t>前</w:t>
      </w:r>
      <w:r>
        <w:t>言</w:t>
      </w:r>
      <w:bookmarkEnd w:id="22"/>
      <w:bookmarkEnd w:id="23"/>
      <w:bookmarkEnd w:id="24"/>
      <w:bookmarkEnd w:id="25"/>
      <w:bookmarkEnd w:id="26"/>
      <w:bookmarkEnd w:id="27"/>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本文件由南昌市民政局提出归口。</w:t>
      </w:r>
    </w:p>
    <w:p>
      <w:pPr>
        <w:pStyle w:val="56"/>
        <w:ind w:firstLine="420"/>
      </w:pPr>
      <w:r>
        <w:rPr>
          <w:rFonts w:hint="eastAsia"/>
        </w:rPr>
        <w:t>本文件起草单位：南昌市民政局、江西省天同老龄产业发展研究中心</w:t>
      </w:r>
    </w:p>
    <w:p>
      <w:pPr>
        <w:pStyle w:val="56"/>
        <w:ind w:firstLine="420"/>
      </w:pPr>
      <w:r>
        <w:rPr>
          <w:rFonts w:hint="eastAsia"/>
        </w:rPr>
        <w:t>本文件主要起草人：邹晓东、曹志宏、张纯荣、许文菲、张婼婼</w:t>
      </w:r>
    </w:p>
    <w:p>
      <w:pPr>
        <w:pStyle w:val="56"/>
        <w:ind w:firstLine="420"/>
      </w:pPr>
    </w:p>
    <w:p>
      <w:pPr>
        <w:pStyle w:val="56"/>
        <w:ind w:firstLine="420"/>
        <w:sectPr>
          <w:pgSz w:w="11906" w:h="16838"/>
          <w:pgMar w:top="2410" w:right="1134" w:bottom="1134" w:left="1134" w:header="1418" w:footer="1134" w:gutter="284"/>
          <w:pgNumType w:fmt="upperRoman"/>
          <w:cols w:space="425" w:num="1"/>
          <w:formProt w:val="0"/>
          <w:docGrid w:type="lines" w:linePitch="312" w:charSpace="0"/>
        </w:sectPr>
      </w:pPr>
    </w:p>
    <w:bookmarkEnd w:id="28"/>
    <w:p>
      <w:pPr>
        <w:spacing w:line="20" w:lineRule="exact"/>
        <w:jc w:val="center"/>
        <w:rPr>
          <w:rFonts w:ascii="黑体" w:hAnsi="黑体" w:eastAsia="黑体"/>
          <w:sz w:val="32"/>
          <w:szCs w:val="32"/>
        </w:rPr>
      </w:pPr>
      <w:bookmarkStart w:id="29" w:name="BookMark4"/>
    </w:p>
    <w:p>
      <w:pPr>
        <w:spacing w:line="20" w:lineRule="exact"/>
        <w:jc w:val="center"/>
        <w:rPr>
          <w:rFonts w:ascii="黑体" w:hAnsi="黑体" w:eastAsia="黑体"/>
          <w:sz w:val="32"/>
          <w:szCs w:val="32"/>
        </w:rPr>
      </w:pPr>
    </w:p>
    <w:sdt>
      <w:sdtPr>
        <w:tag w:val="NEW_STAND_NAME"/>
        <w:id w:val="595910757"/>
        <w:lock w:val="sdtLocked"/>
        <w:placeholder>
          <w:docPart w:val="0AFB8179A6744626BEC0FF46567F9430"/>
        </w:placeholder>
      </w:sdtPr>
      <w:sdtContent>
        <w:p>
          <w:pPr>
            <w:pStyle w:val="177"/>
            <w:spacing w:before="312" w:beforeLines="100" w:after="686" w:afterLines="220"/>
          </w:pPr>
          <w:bookmarkStart w:id="30" w:name="NEW_STAND_NAME"/>
          <w:r>
            <w:rPr>
              <w:rFonts w:hint="eastAsia"/>
            </w:rPr>
            <w:t>农村敬老院运营管理规范</w:t>
          </w:r>
        </w:p>
      </w:sdtContent>
    </w:sdt>
    <w:bookmarkEnd w:id="30"/>
    <w:p>
      <w:pPr>
        <w:pStyle w:val="104"/>
        <w:spacing w:before="312" w:after="312"/>
      </w:pPr>
      <w:bookmarkStart w:id="31" w:name="_Toc80350136"/>
      <w:bookmarkStart w:id="32" w:name="_Toc26986771"/>
      <w:bookmarkStart w:id="33" w:name="_Toc24884211"/>
      <w:bookmarkStart w:id="34" w:name="_Toc17233325"/>
      <w:bookmarkStart w:id="35" w:name="_Toc17233333"/>
      <w:bookmarkStart w:id="36" w:name="_Toc80351675"/>
      <w:bookmarkStart w:id="37" w:name="_Toc26718930"/>
      <w:bookmarkStart w:id="38" w:name="_Toc24884218"/>
      <w:bookmarkStart w:id="39" w:name="_Toc26648465"/>
      <w:bookmarkStart w:id="40" w:name="_Toc80734419"/>
      <w:bookmarkStart w:id="41" w:name="_Toc26986530"/>
      <w:bookmarkStart w:id="42" w:name="_Toc81422644"/>
      <w:bookmarkStart w:id="43" w:name="_Toc81409857"/>
      <w:bookmarkStart w:id="44" w:name="_Toc75893585"/>
      <w:r>
        <w:rPr>
          <w:rFonts w:hint="eastAsia"/>
        </w:rPr>
        <w:t>范围</w:t>
      </w:r>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56"/>
        <w:ind w:firstLine="420"/>
      </w:pPr>
      <w:bookmarkStart w:id="45" w:name="_Toc26648466"/>
      <w:bookmarkStart w:id="46" w:name="_Toc17233326"/>
      <w:bookmarkStart w:id="47" w:name="_Toc17233334"/>
      <w:bookmarkStart w:id="48" w:name="_Toc24884219"/>
      <w:bookmarkStart w:id="49" w:name="_Toc24884212"/>
      <w:r>
        <w:rPr>
          <w:rFonts w:hint="eastAsia"/>
        </w:rPr>
        <w:t>本文件规定了农村敬老院运营管理的机构要求、服务对象管理、组织管理、行政管理、后勤管理、服务管理、安全管理。</w:t>
      </w:r>
    </w:p>
    <w:p>
      <w:pPr>
        <w:pStyle w:val="56"/>
        <w:ind w:firstLine="420"/>
      </w:pPr>
      <w:r>
        <w:rPr>
          <w:rFonts w:hint="eastAsia"/>
        </w:rPr>
        <w:t>本文件适用于南昌市范围内的农村敬老院的运营管理。</w:t>
      </w:r>
    </w:p>
    <w:p>
      <w:pPr>
        <w:pStyle w:val="104"/>
        <w:spacing w:before="312" w:after="312"/>
      </w:pPr>
      <w:bookmarkStart w:id="50" w:name="_Toc26986772"/>
      <w:bookmarkStart w:id="51" w:name="_Toc81422645"/>
      <w:bookmarkStart w:id="52" w:name="_Toc75893586"/>
      <w:bookmarkStart w:id="53" w:name="_Toc80351676"/>
      <w:bookmarkStart w:id="54" w:name="_Toc26986531"/>
      <w:bookmarkStart w:id="55" w:name="_Toc80734420"/>
      <w:bookmarkStart w:id="56" w:name="_Toc80350137"/>
      <w:bookmarkStart w:id="57" w:name="_Toc81409858"/>
      <w:bookmarkStart w:id="58" w:name="_Toc26718931"/>
      <w:r>
        <w:rPr>
          <w:rFonts w:hint="eastAsia"/>
        </w:rPr>
        <w:t>规范性引用文件</w:t>
      </w:r>
      <w:bookmarkEnd w:id="45"/>
      <w:bookmarkEnd w:id="46"/>
      <w:bookmarkEnd w:id="47"/>
      <w:bookmarkEnd w:id="48"/>
      <w:bookmarkEnd w:id="49"/>
      <w:bookmarkEnd w:id="50"/>
      <w:bookmarkEnd w:id="51"/>
      <w:bookmarkEnd w:id="52"/>
      <w:bookmarkEnd w:id="53"/>
      <w:bookmarkEnd w:id="54"/>
      <w:bookmarkEnd w:id="55"/>
      <w:bookmarkEnd w:id="56"/>
      <w:bookmarkEnd w:id="57"/>
      <w:bookmarkEnd w:id="58"/>
    </w:p>
    <w:sdt>
      <w:sdtPr>
        <w:rPr>
          <w:rFonts w:hint="eastAsia"/>
        </w:rPr>
        <w:id w:val="715848253"/>
        <w:placeholder>
          <w:docPart w:val="E646D39B0E2D46688E6F0AA45C908FD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bookmarkStart w:id="59" w:name="_Hlk75893061"/>
      <w:bookmarkStart w:id="60" w:name="_Hlk75892322"/>
      <w:r>
        <w:t xml:space="preserve">GB 14934  </w:t>
      </w:r>
      <w:r>
        <w:rPr>
          <w:rFonts w:hint="eastAsia"/>
        </w:rPr>
        <w:t>食品安全国家标准 消毒餐（饮）具</w:t>
      </w:r>
    </w:p>
    <w:p>
      <w:pPr>
        <w:pStyle w:val="56"/>
        <w:ind w:firstLine="420"/>
      </w:pPr>
      <w:r>
        <w:t xml:space="preserve">GB/T 29353  </w:t>
      </w:r>
      <w:r>
        <w:rPr>
          <w:rFonts w:hint="eastAsia"/>
        </w:rPr>
        <w:t>养老机构基本规范</w:t>
      </w:r>
    </w:p>
    <w:p>
      <w:pPr>
        <w:pStyle w:val="56"/>
        <w:ind w:firstLine="420"/>
      </w:pPr>
      <w:r>
        <w:t xml:space="preserve">GB/T 35796  </w:t>
      </w:r>
      <w:r>
        <w:rPr>
          <w:rFonts w:hint="eastAsia"/>
        </w:rPr>
        <w:t>养老机构服务质量基本规范</w:t>
      </w:r>
    </w:p>
    <w:bookmarkEnd w:id="59"/>
    <w:p>
      <w:pPr>
        <w:pStyle w:val="56"/>
        <w:ind w:firstLine="420"/>
      </w:pPr>
      <w:r>
        <w:t xml:space="preserve">GB 38600  </w:t>
      </w:r>
      <w:r>
        <w:rPr>
          <w:rFonts w:hint="eastAsia"/>
        </w:rPr>
        <w:t>养老机构安全基本规范</w:t>
      </w:r>
    </w:p>
    <w:p>
      <w:pPr>
        <w:pStyle w:val="56"/>
        <w:ind w:firstLine="420"/>
      </w:pPr>
      <w:r>
        <w:rPr>
          <w:rFonts w:hint="eastAsia"/>
        </w:rPr>
        <w:t>M</w:t>
      </w:r>
      <w:r>
        <w:t>Z/T 032</w:t>
      </w:r>
      <w:bookmarkEnd w:id="60"/>
      <w:r>
        <w:t xml:space="preserve">  </w:t>
      </w:r>
      <w:r>
        <w:rPr>
          <w:rFonts w:hint="eastAsia"/>
        </w:rPr>
        <w:t>养老机构安全管理</w:t>
      </w:r>
    </w:p>
    <w:p>
      <w:pPr>
        <w:pStyle w:val="56"/>
        <w:ind w:firstLine="420"/>
        <w:rPr>
          <w:rFonts w:hint="eastAsia"/>
        </w:rPr>
      </w:pPr>
      <w:r>
        <w:rPr>
          <w:rFonts w:hint="eastAsia"/>
        </w:rPr>
        <w:t>MZ/T 039  老年人能力评估</w:t>
      </w:r>
    </w:p>
    <w:p>
      <w:pPr>
        <w:pStyle w:val="104"/>
        <w:spacing w:before="312" w:after="312"/>
      </w:pPr>
      <w:bookmarkStart w:id="61" w:name="_Toc80734421"/>
      <w:bookmarkStart w:id="62" w:name="_Toc80350138"/>
      <w:bookmarkStart w:id="63" w:name="_Toc80351677"/>
      <w:bookmarkStart w:id="64" w:name="_Toc81422646"/>
      <w:bookmarkStart w:id="65" w:name="_Toc75893587"/>
      <w:bookmarkStart w:id="66" w:name="_Toc81409859"/>
      <w:r>
        <w:rPr>
          <w:rFonts w:hint="eastAsia"/>
          <w:szCs w:val="21"/>
        </w:rPr>
        <w:t>术语和定义</w:t>
      </w:r>
      <w:bookmarkEnd w:id="61"/>
      <w:bookmarkEnd w:id="62"/>
      <w:bookmarkEnd w:id="63"/>
      <w:bookmarkEnd w:id="64"/>
      <w:bookmarkEnd w:id="65"/>
      <w:bookmarkEnd w:id="66"/>
    </w:p>
    <w:sdt>
      <w:sdtPr>
        <w:id w:val="-1909835108"/>
        <w:placeholder>
          <w:docPart w:val="47B2BCB3F6684B7E9A5A26504A9F99A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67" w:name="_Toc26986532"/>
          <w:bookmarkEnd w:id="67"/>
          <w:r>
            <w:t>下列术语和定义适用于本文件。</w:t>
          </w:r>
        </w:p>
      </w:sdtContent>
    </w:sdt>
    <w:p>
      <w:pPr>
        <w:pStyle w:val="223"/>
        <w:ind w:left="420" w:hanging="420" w:hangingChars="200"/>
        <w:rPr>
          <w:rFonts w:ascii="黑体" w:hAnsi="黑体" w:eastAsia="黑体"/>
          <w:highlight w:val="none"/>
        </w:rPr>
      </w:pPr>
      <w:r>
        <w:rPr>
          <w:rFonts w:ascii="黑体" w:hAnsi="黑体" w:eastAsia="黑体"/>
        </w:rPr>
        <w:br w:type="textWrapping"/>
      </w:r>
      <w:r>
        <w:rPr>
          <w:rFonts w:hint="eastAsia" w:ascii="黑体" w:hAnsi="黑体" w:eastAsia="黑体"/>
          <w:highlight w:val="none"/>
        </w:rPr>
        <w:t>农村敬老院</w:t>
      </w:r>
    </w:p>
    <w:p>
      <w:pPr>
        <w:pStyle w:val="56"/>
        <w:ind w:firstLine="420"/>
        <w:rPr>
          <w:highlight w:val="none"/>
        </w:rPr>
      </w:pPr>
      <w:r>
        <w:rPr>
          <w:rFonts w:hint="eastAsia"/>
          <w:highlight w:val="none"/>
        </w:rPr>
        <w:t>乡（镇）政府为</w:t>
      </w:r>
      <w:r>
        <w:rPr>
          <w:rFonts w:hint="eastAsia"/>
          <w:highlight w:val="none"/>
          <w:lang w:val="en-US" w:eastAsia="zh-CN"/>
        </w:rPr>
        <w:t>农村</w:t>
      </w:r>
      <w:r>
        <w:rPr>
          <w:rFonts w:hint="eastAsia"/>
          <w:highlight w:val="none"/>
        </w:rPr>
        <w:t>特困人员提供</w:t>
      </w:r>
      <w:r>
        <w:rPr>
          <w:rFonts w:hint="eastAsia"/>
          <w:highlight w:val="none"/>
          <w:lang w:val="en-US" w:eastAsia="zh-CN"/>
        </w:rPr>
        <w:t>集中</w:t>
      </w:r>
      <w:r>
        <w:rPr>
          <w:rFonts w:hint="eastAsia"/>
          <w:highlight w:val="none"/>
        </w:rPr>
        <w:t>供养服务的公益性养老机构（以下简称敬老院）。</w:t>
      </w:r>
    </w:p>
    <w:p>
      <w:pPr>
        <w:pStyle w:val="223"/>
        <w:ind w:left="420" w:hanging="420" w:hangingChars="200"/>
        <w:rPr>
          <w:rFonts w:ascii="黑体" w:hAnsi="黑体" w:eastAsia="黑体"/>
          <w:highlight w:val="none"/>
        </w:rPr>
      </w:pPr>
      <w:r>
        <w:rPr>
          <w:rFonts w:ascii="黑体" w:hAnsi="黑体" w:eastAsia="黑体"/>
          <w:highlight w:val="none"/>
        </w:rPr>
        <w:br w:type="textWrapping"/>
      </w:r>
      <w:r>
        <w:rPr>
          <w:rFonts w:hint="eastAsia" w:ascii="黑体" w:hAnsi="黑体" w:eastAsia="黑体"/>
          <w:highlight w:val="none"/>
        </w:rPr>
        <w:t>城乡特困人员</w:t>
      </w:r>
    </w:p>
    <w:p>
      <w:pPr>
        <w:pStyle w:val="56"/>
        <w:ind w:firstLine="420"/>
        <w:rPr>
          <w:highlight w:val="none"/>
        </w:rPr>
      </w:pPr>
      <w:r>
        <w:rPr>
          <w:rFonts w:hint="eastAsia"/>
          <w:highlight w:val="none"/>
        </w:rPr>
        <w:t>无劳动能力、无生活来源且无法定赡养、抚养、扶养义务人，或者其法定赡养、抚养、扶养义务人无赡养、抚养、扶养能力的老年人、残疾人以及未满16周岁的未成年人（以下简称特困人员）。</w:t>
      </w:r>
    </w:p>
    <w:p>
      <w:pPr>
        <w:pStyle w:val="223"/>
        <w:ind w:left="420" w:hanging="420" w:hangingChars="200"/>
        <w:rPr>
          <w:rFonts w:ascii="黑体" w:hAnsi="黑体" w:eastAsia="黑体"/>
          <w:highlight w:val="none"/>
        </w:rPr>
      </w:pPr>
      <w:r>
        <w:rPr>
          <w:rFonts w:ascii="黑体" w:hAnsi="黑体" w:eastAsia="黑体"/>
          <w:highlight w:val="none"/>
        </w:rPr>
        <w:br w:type="textWrapping"/>
      </w:r>
      <w:r>
        <w:rPr>
          <w:rFonts w:hint="eastAsia" w:ascii="黑体" w:hAnsi="黑体" w:eastAsia="黑体"/>
          <w:highlight w:val="none"/>
        </w:rPr>
        <w:t>服务对象</w:t>
      </w:r>
    </w:p>
    <w:p>
      <w:pPr>
        <w:pStyle w:val="56"/>
        <w:ind w:firstLine="420"/>
        <w:rPr>
          <w:rFonts w:hint="eastAsia"/>
          <w:highlight w:val="none"/>
        </w:rPr>
      </w:pPr>
      <w:r>
        <w:rPr>
          <w:rFonts w:hint="eastAsia"/>
          <w:highlight w:val="none"/>
        </w:rPr>
        <w:t>城乡特困人员</w:t>
      </w:r>
      <w:r>
        <w:rPr>
          <w:rFonts w:hint="eastAsia"/>
          <w:highlight w:val="none"/>
          <w:lang w:val="en-US" w:eastAsia="zh-CN"/>
        </w:rPr>
        <w:t>和</w:t>
      </w:r>
      <w:r>
        <w:rPr>
          <w:rFonts w:hint="eastAsia"/>
          <w:highlight w:val="none"/>
        </w:rPr>
        <w:t>接受有偿养老服务的老年人的统称。</w:t>
      </w:r>
    </w:p>
    <w:p>
      <w:pPr>
        <w:pStyle w:val="104"/>
        <w:spacing w:before="312" w:after="312"/>
      </w:pPr>
      <w:bookmarkStart w:id="68" w:name="_Toc80351678"/>
      <w:bookmarkStart w:id="69" w:name="_Toc80734422"/>
      <w:bookmarkStart w:id="70" w:name="_Toc81409860"/>
      <w:bookmarkStart w:id="71" w:name="_Toc81422647"/>
      <w:bookmarkStart w:id="72" w:name="_Toc75893588"/>
      <w:bookmarkStart w:id="73" w:name="_Toc80350139"/>
      <w:r>
        <w:rPr>
          <w:rFonts w:hint="eastAsia"/>
        </w:rPr>
        <w:t>机构要求</w:t>
      </w:r>
      <w:bookmarkEnd w:id="68"/>
      <w:bookmarkEnd w:id="69"/>
      <w:bookmarkEnd w:id="70"/>
      <w:bookmarkEnd w:id="71"/>
      <w:bookmarkEnd w:id="72"/>
      <w:bookmarkEnd w:id="73"/>
    </w:p>
    <w:p>
      <w:pPr>
        <w:pStyle w:val="162"/>
      </w:pPr>
      <w:r>
        <w:rPr>
          <w:rFonts w:hint="eastAsia"/>
          <w:lang w:eastAsia="zh-CN"/>
        </w:rPr>
        <w:t>应取得</w:t>
      </w:r>
      <w:r>
        <w:rPr>
          <w:rFonts w:hint="eastAsia"/>
        </w:rPr>
        <w:t>事业单位法人登记</w:t>
      </w:r>
      <w:r>
        <w:rPr>
          <w:rFonts w:hint="eastAsia"/>
          <w:lang w:eastAsia="zh-CN"/>
        </w:rPr>
        <w:t>证和</w:t>
      </w:r>
      <w:r>
        <w:rPr>
          <w:rFonts w:hint="eastAsia"/>
        </w:rPr>
        <w:t>食品经营许可证，使用特种设备的应进行注册登记。</w:t>
      </w:r>
    </w:p>
    <w:p>
      <w:pPr>
        <w:pStyle w:val="162"/>
      </w:pPr>
      <w:r>
        <w:rPr>
          <w:rFonts w:hint="eastAsia"/>
        </w:rPr>
        <w:t>内设医疗机构应取得医疗机构执业备案证书；</w:t>
      </w:r>
      <w:r>
        <w:rPr>
          <w:rFonts w:hint="eastAsia"/>
          <w:lang w:eastAsia="zh-CN"/>
        </w:rPr>
        <w:t>合作</w:t>
      </w:r>
      <w:r>
        <w:rPr>
          <w:rFonts w:hint="eastAsia"/>
        </w:rPr>
        <w:t>签约的医疗机构应取得医疗机构执业许可证。</w:t>
      </w:r>
    </w:p>
    <w:p>
      <w:pPr>
        <w:pStyle w:val="162"/>
      </w:pPr>
      <w:r>
        <w:rPr>
          <w:rFonts w:hint="eastAsia"/>
        </w:rPr>
        <w:t>应有满足运营管理和服务需求的场所、设施设备、管理人员、工作人员及相应的服务能力。</w:t>
      </w:r>
    </w:p>
    <w:p>
      <w:pPr>
        <w:pStyle w:val="162"/>
      </w:pPr>
      <w:r>
        <w:rPr>
          <w:rFonts w:hint="eastAsia"/>
        </w:rPr>
        <w:t>应健全组织机构，制定各项规章制度、岗位职责、服务标准和服务流程，岗位职责和服务标准以及服务流程应公示。</w:t>
      </w:r>
    </w:p>
    <w:p>
      <w:pPr>
        <w:pStyle w:val="104"/>
        <w:spacing w:before="312" w:after="312"/>
      </w:pPr>
      <w:bookmarkStart w:id="74" w:name="_Toc80734423"/>
      <w:bookmarkStart w:id="75" w:name="_Toc81422648"/>
      <w:bookmarkStart w:id="76" w:name="_Toc81409861"/>
      <w:r>
        <w:rPr>
          <w:rFonts w:hint="eastAsia"/>
        </w:rPr>
        <w:t>服务对象管理</w:t>
      </w:r>
      <w:bookmarkEnd w:id="74"/>
      <w:bookmarkEnd w:id="75"/>
      <w:bookmarkEnd w:id="76"/>
    </w:p>
    <w:p>
      <w:pPr>
        <w:pStyle w:val="162"/>
      </w:pPr>
      <w:r>
        <w:rPr>
          <w:rFonts w:hint="eastAsia"/>
        </w:rPr>
        <w:t>特困人员向乡镇政府提出申请,经乡镇政府批准后自愿入院的，应给予接受。有社会养老服务需求的老年人，按照自愿、有偿的原则接受。</w:t>
      </w:r>
    </w:p>
    <w:p>
      <w:pPr>
        <w:pStyle w:val="162"/>
        <w:rPr>
          <w:rFonts w:hint="eastAsia"/>
        </w:rPr>
      </w:pPr>
      <w:r>
        <w:rPr>
          <w:rFonts w:hint="eastAsia"/>
        </w:rPr>
        <w:t>服务对象入院前经体检合格，并通过能力评估以及安全风险评估后方可接受入院，能力评估应遵守MZ/T 039的规定。敬老院不应接受有传染性疾病、精神疾病的对象入院。</w:t>
      </w:r>
    </w:p>
    <w:p>
      <w:pPr>
        <w:pStyle w:val="162"/>
      </w:pPr>
      <w:r>
        <w:rPr>
          <w:rFonts w:hint="eastAsia"/>
        </w:rPr>
        <w:t>特困人员自愿出院的，应按照出院流程办理出院。本人申请出院的，敬老院应通知其所在地乡镇人民政府和村委会方可离院。</w:t>
      </w:r>
    </w:p>
    <w:p>
      <w:pPr>
        <w:pStyle w:val="162"/>
      </w:pPr>
      <w:r>
        <w:rPr>
          <w:rFonts w:hint="eastAsia"/>
        </w:rPr>
        <w:t>敬老院应教育服务对象遵守规章制度，爱护公共财物，维护良好卫生环境，文明礼貌，团结互助。</w:t>
      </w:r>
    </w:p>
    <w:p>
      <w:pPr>
        <w:pStyle w:val="104"/>
        <w:spacing w:before="312" w:after="312"/>
      </w:pPr>
      <w:bookmarkStart w:id="77" w:name="_Toc81422649"/>
      <w:bookmarkStart w:id="78" w:name="_Toc80734424"/>
      <w:bookmarkStart w:id="79" w:name="_Toc81409862"/>
      <w:r>
        <w:rPr>
          <w:rFonts w:hint="eastAsia"/>
        </w:rPr>
        <w:t>组织管理</w:t>
      </w:r>
      <w:bookmarkEnd w:id="77"/>
      <w:bookmarkEnd w:id="78"/>
      <w:bookmarkEnd w:id="79"/>
    </w:p>
    <w:p>
      <w:pPr>
        <w:pStyle w:val="162"/>
      </w:pPr>
      <w:r>
        <w:rPr>
          <w:rFonts w:hint="eastAsia"/>
        </w:rPr>
        <w:t>实行院长责任制，院长负责敬老院的全面工作。</w:t>
      </w:r>
    </w:p>
    <w:p>
      <w:pPr>
        <w:pStyle w:val="162"/>
      </w:pPr>
      <w:r>
        <w:rPr>
          <w:rFonts w:hint="eastAsia"/>
        </w:rPr>
        <w:t>应设立</w:t>
      </w:r>
      <w:bookmarkStart w:id="80" w:name="_Hlk80729794"/>
      <w:r>
        <w:rPr>
          <w:rFonts w:hint="eastAsia"/>
        </w:rPr>
        <w:t>院务管理委员会</w:t>
      </w:r>
      <w:bookmarkEnd w:id="80"/>
      <w:r>
        <w:rPr>
          <w:rFonts w:hint="eastAsia"/>
        </w:rPr>
        <w:t>，由院长、工作人员和服务对象共同组成，服务对象所占比例不应少于三分之一，工作人员和服务对象由全体人员民主选举产生，院务管理委员会履行以下职责：</w:t>
      </w:r>
    </w:p>
    <w:p>
      <w:pPr>
        <w:pStyle w:val="132"/>
      </w:pPr>
      <w:r>
        <w:rPr>
          <w:rFonts w:hint="eastAsia"/>
        </w:rPr>
        <w:t>监督本机构各项规章制度的执行情况；</w:t>
      </w:r>
    </w:p>
    <w:p>
      <w:pPr>
        <w:pStyle w:val="132"/>
      </w:pPr>
      <w:r>
        <w:rPr>
          <w:rFonts w:hint="eastAsia"/>
        </w:rPr>
        <w:t>监督本机构财务收支和管理情况；</w:t>
      </w:r>
    </w:p>
    <w:p>
      <w:pPr>
        <w:pStyle w:val="132"/>
      </w:pPr>
      <w:r>
        <w:rPr>
          <w:rFonts w:hint="eastAsia"/>
        </w:rPr>
        <w:t>监督院长和工作人员的工作；</w:t>
      </w:r>
    </w:p>
    <w:p>
      <w:pPr>
        <w:pStyle w:val="132"/>
      </w:pPr>
      <w:r>
        <w:rPr>
          <w:rFonts w:hint="eastAsia"/>
        </w:rPr>
        <w:t>调解服务对象之间的矛盾纠纷；</w:t>
      </w:r>
    </w:p>
    <w:p>
      <w:pPr>
        <w:pStyle w:val="132"/>
      </w:pPr>
      <w:r>
        <w:rPr>
          <w:rFonts w:hint="eastAsia"/>
        </w:rPr>
        <w:t>组织协调服务对象开展自我服务和自我管理；</w:t>
      </w:r>
    </w:p>
    <w:p>
      <w:pPr>
        <w:pStyle w:val="132"/>
      </w:pPr>
      <w:r>
        <w:rPr>
          <w:rFonts w:hint="eastAsia"/>
        </w:rPr>
        <w:t>其他院务管理职责。</w:t>
      </w:r>
    </w:p>
    <w:p>
      <w:pPr>
        <w:pStyle w:val="104"/>
        <w:spacing w:before="312" w:after="312"/>
      </w:pPr>
      <w:bookmarkStart w:id="81" w:name="_Toc81422650"/>
      <w:bookmarkStart w:id="82" w:name="_Toc81409863"/>
      <w:bookmarkStart w:id="83" w:name="_Toc80734425"/>
      <w:r>
        <w:rPr>
          <w:rFonts w:hint="eastAsia"/>
        </w:rPr>
        <w:t>行政管理</w:t>
      </w:r>
      <w:bookmarkEnd w:id="81"/>
      <w:bookmarkEnd w:id="82"/>
      <w:bookmarkEnd w:id="83"/>
    </w:p>
    <w:p>
      <w:pPr>
        <w:pStyle w:val="105"/>
        <w:spacing w:before="156" w:after="156"/>
      </w:pPr>
      <w:r>
        <w:rPr>
          <w:rFonts w:hint="eastAsia"/>
        </w:rPr>
        <w:t>财务管理</w:t>
      </w:r>
    </w:p>
    <w:p>
      <w:pPr>
        <w:pStyle w:val="165"/>
      </w:pPr>
      <w:r>
        <w:rPr>
          <w:rFonts w:hint="eastAsia"/>
        </w:rPr>
        <w:t>应分设会计、出纳，实行账目、资金分管，建立并执行资金管理、帐户管理、资产管理、财务审批、财务公开等管理制度。</w:t>
      </w:r>
    </w:p>
    <w:p>
      <w:pPr>
        <w:pStyle w:val="165"/>
      </w:pPr>
      <w:r>
        <w:rPr>
          <w:rFonts w:hint="eastAsia"/>
        </w:rPr>
        <w:t>应将各类专项资金、社会捐赠收入、院办经济收入、其他收入和救助资金全部用于养老服务，不应挪作他用。救助资金中的照料护理费用可以由敬老院统一用于照料护理开支。</w:t>
      </w:r>
    </w:p>
    <w:p>
      <w:pPr>
        <w:pStyle w:val="165"/>
      </w:pPr>
      <w:r>
        <w:rPr>
          <w:rFonts w:hint="eastAsia"/>
        </w:rPr>
        <w:t>资金帐户实行专户管理，设立专账集中管理，定期报账。所有经营收入，有关部门捐款捐物，上级民政部门、政府的拨款等均应进入帐户。</w:t>
      </w:r>
    </w:p>
    <w:p>
      <w:pPr>
        <w:pStyle w:val="165"/>
      </w:pPr>
      <w:r>
        <w:rPr>
          <w:rFonts w:hint="eastAsia"/>
        </w:rPr>
        <w:t>应建立固定资产购置、报废、盘点制度，及时进行固定资产登记，并建立台账。</w:t>
      </w:r>
    </w:p>
    <w:p>
      <w:pPr>
        <w:pStyle w:val="165"/>
      </w:pPr>
      <w:r>
        <w:rPr>
          <w:rFonts w:hint="eastAsia"/>
        </w:rPr>
        <w:t>实行开支核销审批制度， 所有开支均需报财务负责人审批。应严格遵守现金管理条例，不应大额现金支出，只可预留备用金用于食堂开支。</w:t>
      </w:r>
    </w:p>
    <w:p>
      <w:pPr>
        <w:pStyle w:val="165"/>
      </w:pPr>
      <w:r>
        <w:rPr>
          <w:rFonts w:hint="eastAsia"/>
        </w:rPr>
        <w:t>大宗采购应执行政府采购相关规定，其它采购应公开、透明，建立相关记录。</w:t>
      </w:r>
    </w:p>
    <w:p>
      <w:pPr>
        <w:pStyle w:val="165"/>
      </w:pPr>
      <w:r>
        <w:rPr>
          <w:rFonts w:hint="eastAsia"/>
        </w:rPr>
        <w:t>每月应向服务对象公布生活经费开支，财务收支情况，接受服务对象直接监督。不应以任何理由借用、挪用、拖欠、抵扣、截留、私分任何经费。</w:t>
      </w:r>
    </w:p>
    <w:p>
      <w:pPr>
        <w:pStyle w:val="105"/>
        <w:spacing w:before="156" w:after="156"/>
      </w:pPr>
      <w:r>
        <w:rPr>
          <w:rFonts w:hint="eastAsia"/>
        </w:rPr>
        <w:t>人事管理</w:t>
      </w:r>
    </w:p>
    <w:p>
      <w:pPr>
        <w:pStyle w:val="165"/>
      </w:pPr>
      <w:r>
        <w:rPr>
          <w:rFonts w:hint="eastAsia"/>
        </w:rPr>
        <w:t>应与服务人员签订用工合同，明确双方的权利义务，违约责任等内容。聘请的养老护理员和医护、社会工作者等人员应有相应资质。</w:t>
      </w:r>
    </w:p>
    <w:p>
      <w:pPr>
        <w:pStyle w:val="165"/>
      </w:pPr>
      <w:r>
        <w:rPr>
          <w:rFonts w:hint="eastAsia"/>
        </w:rPr>
        <w:t>应制定培训教育计划，对服务人员定期进行法律法规、职业道德、行为规范以及食品安全、消防安全等业务知识技能培训。</w:t>
      </w:r>
    </w:p>
    <w:p>
      <w:pPr>
        <w:pStyle w:val="165"/>
      </w:pPr>
      <w:r>
        <w:rPr>
          <w:rFonts w:hint="eastAsia"/>
        </w:rPr>
        <w:t>应制订服务人员选聘、考核、任免、奖惩等制度和行为规范以及各个岗位的职责，并进行监督检查和业绩考核。</w:t>
      </w:r>
    </w:p>
    <w:p>
      <w:pPr>
        <w:pStyle w:val="165"/>
      </w:pPr>
      <w:r>
        <w:rPr>
          <w:rFonts w:hint="eastAsia"/>
        </w:rPr>
        <w:t>每年应组织服务人员进行健康体检并取得健康证，接触食品的服务人员应取得食品健康证。</w:t>
      </w:r>
    </w:p>
    <w:p>
      <w:pPr>
        <w:pStyle w:val="105"/>
        <w:spacing w:before="156" w:after="156"/>
      </w:pPr>
      <w:r>
        <w:rPr>
          <w:rFonts w:hint="eastAsia"/>
        </w:rPr>
        <w:t>信息管理</w:t>
      </w:r>
    </w:p>
    <w:p>
      <w:pPr>
        <w:pStyle w:val="165"/>
      </w:pPr>
      <w:r>
        <w:rPr>
          <w:rFonts w:hint="eastAsia"/>
        </w:rPr>
        <w:t>应制订信息管理制度，建立服务对象个人档案，包括申请书、个人财产备案登记表、健康检查、入院协议资料、身份证（户口簿）复印件、照片及后事处理联系人等与服务对象有关的资料。</w:t>
      </w:r>
    </w:p>
    <w:p>
      <w:pPr>
        <w:pStyle w:val="165"/>
      </w:pPr>
      <w:r>
        <w:rPr>
          <w:rFonts w:hint="eastAsia"/>
        </w:rPr>
        <w:t>服务对象入院、在院、离院的所有档案，由专人负责，实行一人一档管理。</w:t>
      </w:r>
    </w:p>
    <w:p>
      <w:pPr>
        <w:pStyle w:val="165"/>
      </w:pPr>
      <w:r>
        <w:rPr>
          <w:rFonts w:hint="eastAsia"/>
        </w:rPr>
        <w:t>应统一规范服务对象档案及运行档案，按照管理类别、时间分类归档，重要信息录入电脑，按照规定录入南昌市养老服务信息平台。</w:t>
      </w:r>
    </w:p>
    <w:p>
      <w:pPr>
        <w:pStyle w:val="165"/>
      </w:pPr>
      <w:r>
        <w:rPr>
          <w:rFonts w:hint="eastAsia"/>
        </w:rPr>
        <w:t>应执行信息保密制度，不应随意泄露服务对象的个人信息和隐私。</w:t>
      </w:r>
    </w:p>
    <w:p>
      <w:pPr>
        <w:pStyle w:val="104"/>
        <w:spacing w:before="312" w:after="312"/>
      </w:pPr>
      <w:bookmarkStart w:id="84" w:name="_Toc81422651"/>
      <w:bookmarkStart w:id="85" w:name="_Toc80734426"/>
      <w:bookmarkStart w:id="86" w:name="_Toc80351680"/>
      <w:bookmarkStart w:id="87" w:name="_Toc81409864"/>
      <w:r>
        <w:rPr>
          <w:rFonts w:hint="eastAsia"/>
        </w:rPr>
        <w:t>后勤管理</w:t>
      </w:r>
      <w:bookmarkEnd w:id="84"/>
      <w:bookmarkEnd w:id="85"/>
      <w:bookmarkEnd w:id="86"/>
      <w:bookmarkEnd w:id="87"/>
    </w:p>
    <w:p>
      <w:pPr>
        <w:pStyle w:val="105"/>
        <w:spacing w:before="156" w:after="156"/>
      </w:pPr>
      <w:r>
        <w:rPr>
          <w:rFonts w:hint="eastAsia"/>
        </w:rPr>
        <w:t>设施设备管理</w:t>
      </w:r>
    </w:p>
    <w:p>
      <w:pPr>
        <w:pStyle w:val="164"/>
        <w:numPr>
          <w:ilvl w:val="0"/>
          <w:numId w:val="0"/>
        </w:numPr>
        <w:ind w:firstLine="420" w:firstLineChars="200"/>
      </w:pPr>
      <w:r>
        <w:rPr>
          <w:rFonts w:hint="eastAsia"/>
        </w:rPr>
        <w:t>应制订设施设备使用、维保和报废等管理制度，建立设施设备管理台账，定期对设施设备进行维护，破损的及时更新。</w:t>
      </w:r>
    </w:p>
    <w:p>
      <w:pPr>
        <w:pStyle w:val="105"/>
        <w:spacing w:before="156" w:after="156"/>
      </w:pPr>
      <w:r>
        <w:rPr>
          <w:rFonts w:hint="eastAsia"/>
        </w:rPr>
        <w:t>采购管理</w:t>
      </w:r>
    </w:p>
    <w:p>
      <w:pPr>
        <w:pStyle w:val="164"/>
        <w:numPr>
          <w:ilvl w:val="0"/>
          <w:numId w:val="0"/>
        </w:numPr>
        <w:ind w:firstLine="420" w:firstLineChars="200"/>
      </w:pPr>
      <w:r>
        <w:rPr>
          <w:rFonts w:hint="eastAsia"/>
        </w:rPr>
        <w:t>应制订采购管理制度，严格执行采购流程和审批手续，并建立台账。</w:t>
      </w:r>
    </w:p>
    <w:p>
      <w:pPr>
        <w:pStyle w:val="105"/>
        <w:spacing w:before="156" w:after="156"/>
      </w:pPr>
      <w:r>
        <w:rPr>
          <w:rFonts w:hint="eastAsia"/>
        </w:rPr>
        <w:t>仓库管理</w:t>
      </w:r>
    </w:p>
    <w:p>
      <w:pPr>
        <w:pStyle w:val="164"/>
        <w:numPr>
          <w:ilvl w:val="0"/>
          <w:numId w:val="0"/>
        </w:numPr>
        <w:ind w:firstLine="420" w:firstLineChars="200"/>
      </w:pPr>
      <w:r>
        <w:rPr>
          <w:rFonts w:hint="eastAsia"/>
        </w:rPr>
        <w:t>应建立仓库管理制度，各类设施设备、物资和用品出入库应登记造册，做到账、物相符，记录包括名称、数量、用途、经手人等信息，申领应履行审批手续。</w:t>
      </w:r>
    </w:p>
    <w:p>
      <w:pPr>
        <w:pStyle w:val="105"/>
        <w:spacing w:before="156" w:after="156"/>
      </w:pPr>
      <w:r>
        <w:rPr>
          <w:rFonts w:hint="eastAsia"/>
        </w:rPr>
        <w:t>环境卫生</w:t>
      </w:r>
    </w:p>
    <w:p>
      <w:pPr>
        <w:pStyle w:val="165"/>
      </w:pPr>
      <w:r>
        <w:rPr>
          <w:rFonts w:hint="eastAsia"/>
        </w:rPr>
        <w:t>应制订环境卫生、，保持院内环境干净、服务对象住房内外卫生可由服务对象自己负责，生活不能自理的服务对象的住房卫生由服务人员负责，垃圾及时清运。</w:t>
      </w:r>
    </w:p>
    <w:p>
      <w:pPr>
        <w:pStyle w:val="165"/>
      </w:pPr>
      <w:r>
        <w:rPr>
          <w:rFonts w:hint="eastAsia"/>
        </w:rPr>
        <w:t>应制订个人卫生管理制度，加强工作人员和服务对象的个人卫生管理，教育其养成良好的个人卫生习惯，做到勤洗手、勤洗澡、勤理发、勤剪指甲、勤换衣裤。</w:t>
      </w:r>
    </w:p>
    <w:p>
      <w:pPr>
        <w:pStyle w:val="165"/>
      </w:pPr>
      <w:r>
        <w:rPr>
          <w:rFonts w:hint="eastAsia"/>
        </w:rPr>
        <w:t>应做好服务对象个人物品清洁、消毒及污物的处理，预防感染。</w:t>
      </w:r>
    </w:p>
    <w:p>
      <w:pPr>
        <w:pStyle w:val="105"/>
        <w:spacing w:before="156" w:after="156"/>
      </w:pPr>
      <w:r>
        <w:rPr>
          <w:rFonts w:hint="eastAsia"/>
        </w:rPr>
        <w:t>食堂管理</w:t>
      </w:r>
    </w:p>
    <w:p>
      <w:pPr>
        <w:pStyle w:val="165"/>
      </w:pPr>
      <w:r>
        <w:rPr>
          <w:rFonts w:hint="eastAsia"/>
        </w:rPr>
        <w:t>应根据老年人的饮食特点制订食谱，餐食做到干湿相济，荤素搭配、营养卫生，生病的服务对象应按医嘱安排餐食。</w:t>
      </w:r>
    </w:p>
    <w:p>
      <w:pPr>
        <w:pStyle w:val="165"/>
      </w:pPr>
      <w:r>
        <w:rPr>
          <w:rFonts w:hint="eastAsia"/>
        </w:rPr>
        <w:t>食堂大米、食油、调料等应存放在仓库，指定专人保管，进出库要登记并做到账物相符。应加强成本核算，减少浪费。餐食费用每月应公布结算明细。</w:t>
      </w:r>
    </w:p>
    <w:p>
      <w:pPr>
        <w:pStyle w:val="105"/>
        <w:spacing w:before="156" w:after="156"/>
      </w:pPr>
      <w:r>
        <w:rPr>
          <w:rFonts w:hint="eastAsia"/>
        </w:rPr>
        <w:t>院办经济</w:t>
      </w:r>
    </w:p>
    <w:p>
      <w:pPr>
        <w:pStyle w:val="165"/>
      </w:pPr>
      <w:r>
        <w:rPr>
          <w:rFonts w:hint="eastAsia"/>
        </w:rPr>
        <w:t>可通利用敬老院的现有场所和条件开展多种形式的农副业生产或其它经营活动，发展院办经济，增加收入。</w:t>
      </w:r>
    </w:p>
    <w:p>
      <w:pPr>
        <w:pStyle w:val="165"/>
      </w:pPr>
      <w:r>
        <w:rPr>
          <w:rFonts w:hint="eastAsia"/>
        </w:rPr>
        <w:t>院办经济收入应用于改善服务对象生活条件及扩大再生产，支付服务对象参加力所能及的生产劳动和经营活动的报酬，不应侵占、挪用。</w:t>
      </w:r>
    </w:p>
    <w:p>
      <w:pPr>
        <w:pStyle w:val="104"/>
        <w:spacing w:before="312" w:after="312"/>
      </w:pPr>
      <w:bookmarkStart w:id="88" w:name="_Toc80734427"/>
      <w:bookmarkStart w:id="89" w:name="_Toc81409865"/>
      <w:bookmarkStart w:id="90" w:name="_Toc80351681"/>
      <w:bookmarkStart w:id="91" w:name="_Toc81422652"/>
      <w:r>
        <w:rPr>
          <w:rFonts w:hint="eastAsia"/>
        </w:rPr>
        <w:t>服务管理</w:t>
      </w:r>
      <w:bookmarkEnd w:id="88"/>
      <w:bookmarkEnd w:id="89"/>
      <w:bookmarkEnd w:id="90"/>
      <w:bookmarkEnd w:id="91"/>
    </w:p>
    <w:p>
      <w:pPr>
        <w:pStyle w:val="165"/>
      </w:pPr>
      <w:r>
        <w:rPr>
          <w:rFonts w:hint="eastAsia"/>
        </w:rPr>
        <w:t>应当按照规定向供养对象提供住宿、膳食、生活照料、日常诊疗、文化娱乐、体育健身、社会工作等服务。社会养老服务应根据服务协议提供约定的服务。服务质量应遵守</w:t>
      </w:r>
      <w:bookmarkStart w:id="92" w:name="_Hlk80731416"/>
      <w:r>
        <w:rPr>
          <w:rFonts w:hint="eastAsia"/>
        </w:rPr>
        <w:t>GB/T 29353</w:t>
      </w:r>
      <w:bookmarkEnd w:id="92"/>
      <w:r>
        <w:rPr>
          <w:rFonts w:hint="eastAsia"/>
        </w:rPr>
        <w:t>、</w:t>
      </w:r>
      <w:bookmarkStart w:id="93" w:name="_Hlk80731435"/>
      <w:r>
        <w:rPr>
          <w:rFonts w:hint="eastAsia"/>
        </w:rPr>
        <w:t>GB/T 35796</w:t>
      </w:r>
      <w:bookmarkEnd w:id="93"/>
      <w:r>
        <w:rPr>
          <w:rFonts w:hint="eastAsia"/>
        </w:rPr>
        <w:t>的规定。</w:t>
      </w:r>
    </w:p>
    <w:p>
      <w:pPr>
        <w:pStyle w:val="165"/>
      </w:pPr>
      <w:r>
        <w:rPr>
          <w:rFonts w:hint="eastAsia"/>
        </w:rPr>
        <w:t>应建立包括服务质量控制、服务评价与改进、投诉处理等服务管理制度。</w:t>
      </w:r>
    </w:p>
    <w:p>
      <w:pPr>
        <w:pStyle w:val="165"/>
      </w:pPr>
      <w:r>
        <w:rPr>
          <w:rFonts w:hint="eastAsia"/>
        </w:rPr>
        <w:t>提供社会养老服务的，应制订并公开服务内容、收费标准，并与服务对象签订或者其赡养人签订协议，约定双方的权利和义务。</w:t>
      </w:r>
    </w:p>
    <w:p>
      <w:pPr>
        <w:pStyle w:val="165"/>
      </w:pPr>
      <w:r>
        <w:rPr>
          <w:rFonts w:hint="eastAsia"/>
        </w:rPr>
        <w:t>应定期对服务对象进行健康检查，发现患病的应针对病情及时安排送医，并做好护理工作，发现有传染性疾病的特困人员应送医治愈后再入院，社会养老服务对象可通知其家属带其送医或办理出院。</w:t>
      </w:r>
    </w:p>
    <w:p>
      <w:pPr>
        <w:pStyle w:val="165"/>
      </w:pPr>
      <w:r>
        <w:rPr>
          <w:rFonts w:hint="eastAsia"/>
        </w:rPr>
        <w:t>特困人员去世后，由特困人员监护人或原居住地村委会按入院协议办理后事。</w:t>
      </w:r>
    </w:p>
    <w:p>
      <w:pPr>
        <w:pStyle w:val="165"/>
      </w:pPr>
      <w:r>
        <w:rPr>
          <w:rFonts w:hint="eastAsia"/>
        </w:rPr>
        <w:t>应对服务人员的服务内容、服务过程、服务质量进行监督检查，并把监督检查结果纳入服务人员绩效管理。</w:t>
      </w:r>
    </w:p>
    <w:p>
      <w:pPr>
        <w:pStyle w:val="165"/>
      </w:pPr>
      <w:r>
        <w:rPr>
          <w:rFonts w:hint="eastAsia"/>
        </w:rPr>
        <w:t>应尊重、爱护、关系服务对象，维护其合法权益。</w:t>
      </w:r>
    </w:p>
    <w:p>
      <w:pPr>
        <w:pStyle w:val="165"/>
      </w:pPr>
      <w:r>
        <w:rPr>
          <w:rFonts w:hint="eastAsia"/>
        </w:rPr>
        <w:t>应公开投诉渠道，受理服务对象投诉，进行调查处理，并及时通报处理结果。</w:t>
      </w:r>
    </w:p>
    <w:p>
      <w:pPr>
        <w:pStyle w:val="165"/>
      </w:pPr>
      <w:r>
        <w:rPr>
          <w:rFonts w:hint="eastAsia"/>
        </w:rPr>
        <w:t>宜对服务进行自我评价，进行服务满意度调查，并根据调查结果做好持续改进。</w:t>
      </w:r>
    </w:p>
    <w:p>
      <w:pPr>
        <w:pStyle w:val="165"/>
      </w:pPr>
      <w:r>
        <w:rPr>
          <w:rFonts w:hint="eastAsia"/>
        </w:rPr>
        <w:t>应投保养老机构综合责任保险，降低运营风险。</w:t>
      </w:r>
    </w:p>
    <w:p>
      <w:pPr>
        <w:pStyle w:val="104"/>
        <w:spacing w:before="312" w:after="312"/>
      </w:pPr>
      <w:bookmarkStart w:id="94" w:name="_Toc80351682"/>
      <w:bookmarkStart w:id="95" w:name="_Toc81409866"/>
      <w:bookmarkStart w:id="96" w:name="_Toc80734428"/>
      <w:bookmarkStart w:id="97" w:name="_Toc81422653"/>
      <w:r>
        <w:rPr>
          <w:rFonts w:hint="eastAsia"/>
        </w:rPr>
        <w:t>安全管理</w:t>
      </w:r>
      <w:bookmarkEnd w:id="94"/>
      <w:bookmarkEnd w:id="95"/>
      <w:bookmarkEnd w:id="96"/>
      <w:bookmarkEnd w:id="97"/>
    </w:p>
    <w:p>
      <w:pPr>
        <w:pStyle w:val="105"/>
        <w:spacing w:before="156" w:after="156"/>
      </w:pPr>
      <w:r>
        <w:rPr>
          <w:rFonts w:hint="eastAsia"/>
        </w:rPr>
        <w:t>总则</w:t>
      </w:r>
    </w:p>
    <w:p>
      <w:pPr>
        <w:pStyle w:val="165"/>
      </w:pPr>
      <w:r>
        <w:rPr>
          <w:rFonts w:hint="eastAsia"/>
        </w:rPr>
        <w:t>应制订食品安全、消防安全、安全防护、疫情防控、安全应急等管理制度，安全管理应遵守</w:t>
      </w:r>
      <w:r>
        <w:t>MZ/T 032</w:t>
      </w:r>
      <w:r>
        <w:rPr>
          <w:rFonts w:hint="eastAsia"/>
        </w:rPr>
        <w:t>的规定。</w:t>
      </w:r>
    </w:p>
    <w:p>
      <w:pPr>
        <w:pStyle w:val="165"/>
      </w:pPr>
      <w:r>
        <w:rPr>
          <w:rFonts w:hint="eastAsia"/>
        </w:rPr>
        <w:t>应加强安全管理，落实安全责任，消除安全隐患，建立安全管理台账，进行必要记录。</w:t>
      </w:r>
    </w:p>
    <w:p>
      <w:pPr>
        <w:pStyle w:val="105"/>
        <w:spacing w:before="156" w:after="156"/>
      </w:pPr>
      <w:r>
        <w:rPr>
          <w:rFonts w:hint="eastAsia"/>
        </w:rPr>
        <w:t>食品安全</w:t>
      </w:r>
    </w:p>
    <w:p>
      <w:pPr>
        <w:pStyle w:val="165"/>
      </w:pPr>
      <w:r>
        <w:rPr>
          <w:rFonts w:hint="eastAsia"/>
        </w:rPr>
        <w:t>应制订原料控制¸餐用具清洗消毒¸餐饮服务过程控制¸从业人员健康管理¸从业人员培训¸食品安全自查¸进货查验和记录¸食品留样¸场所及设施设备清洗消毒和维修保养¸食品安全信息追溯等制度。</w:t>
      </w:r>
    </w:p>
    <w:p>
      <w:pPr>
        <w:pStyle w:val="165"/>
      </w:pPr>
      <w:r>
        <w:rPr>
          <w:rFonts w:hint="eastAsia"/>
        </w:rPr>
        <w:t>采购的食品和原辅料应符合食品安全规定，对食品和原辅料应进行查验，如实记录，并保存相关凭证。</w:t>
      </w:r>
    </w:p>
    <w:p>
      <w:pPr>
        <w:pStyle w:val="165"/>
      </w:pPr>
      <w:r>
        <w:rPr>
          <w:rFonts w:hint="eastAsia"/>
        </w:rPr>
        <w:t>餐具、食品容器和厨房工具每次使用前应先清洁，餐具还应消毒，餐具消毒应遵守</w:t>
      </w:r>
      <w:bookmarkStart w:id="98" w:name="_Hlk75893053"/>
      <w:r>
        <w:rPr>
          <w:rFonts w:hint="eastAsia"/>
        </w:rPr>
        <w:t>GB 14934</w:t>
      </w:r>
      <w:bookmarkEnd w:id="98"/>
      <w:r>
        <w:rPr>
          <w:rFonts w:hint="eastAsia"/>
        </w:rPr>
        <w:t>的规定。</w:t>
      </w:r>
    </w:p>
    <w:p>
      <w:pPr>
        <w:pStyle w:val="165"/>
      </w:pPr>
      <w:r>
        <w:rPr>
          <w:rFonts w:hint="eastAsia"/>
        </w:rPr>
        <w:t>应对制作的各种食品进行留样，留样食品按照品种分别盛放于清洗消毒后的专用密闭容器内，重量不低于125g，冷藏存放48小时以上，并有记录。</w:t>
      </w:r>
    </w:p>
    <w:p>
      <w:pPr>
        <w:pStyle w:val="165"/>
      </w:pPr>
      <w:r>
        <w:rPr>
          <w:rFonts w:hint="eastAsia"/>
        </w:rPr>
        <w:t>应组织从业人员进行食品安全法律法规的宣贯培训，宜进行知识和操作的考核。</w:t>
      </w:r>
    </w:p>
    <w:p>
      <w:pPr>
        <w:pStyle w:val="105"/>
        <w:spacing w:before="156" w:after="156"/>
      </w:pPr>
      <w:r>
        <w:rPr>
          <w:rFonts w:hint="eastAsia"/>
        </w:rPr>
        <w:t>消防安全</w:t>
      </w:r>
    </w:p>
    <w:p>
      <w:pPr>
        <w:pStyle w:val="165"/>
      </w:pPr>
      <w:r>
        <w:rPr>
          <w:rFonts w:hint="eastAsia"/>
        </w:rPr>
        <w:t>养老机构应遵守国家消防安全相关法律法规要求，建立相应的消防设施设备管理、消防检查、消防知识培训等管理制度。</w:t>
      </w:r>
    </w:p>
    <w:p>
      <w:pPr>
        <w:pStyle w:val="165"/>
      </w:pPr>
      <w:r>
        <w:rPr>
          <w:rFonts w:hint="eastAsia"/>
        </w:rPr>
        <w:t>使用取暖设备和燃气灶具等应遵守安全管理规定，电源线路、用电设备应经常检修。</w:t>
      </w:r>
    </w:p>
    <w:p>
      <w:pPr>
        <w:pStyle w:val="105"/>
        <w:spacing w:before="156" w:after="156"/>
      </w:pPr>
      <w:r>
        <w:rPr>
          <w:rFonts w:hint="eastAsia"/>
        </w:rPr>
        <w:t>安全防护</w:t>
      </w:r>
    </w:p>
    <w:p>
      <w:pPr>
        <w:pStyle w:val="165"/>
      </w:pPr>
      <w:r>
        <w:rPr>
          <w:rFonts w:hint="eastAsia"/>
        </w:rPr>
        <w:t>应有防跌倒、防坠床、防自残（自杀）、防走失、防伤人和感染防控等安全措施，安全防护应遵守GB 38600 的规定。</w:t>
      </w:r>
    </w:p>
    <w:p>
      <w:pPr>
        <w:pStyle w:val="165"/>
      </w:pPr>
      <w:r>
        <w:rPr>
          <w:rFonts w:hint="eastAsia"/>
        </w:rPr>
        <w:t>应制定合理的外出活动安排，外出活动应组织集体出行，不应让服务对象单处外出。</w:t>
      </w:r>
    </w:p>
    <w:p>
      <w:pPr>
        <w:pStyle w:val="105"/>
        <w:spacing w:before="156" w:after="156"/>
      </w:pPr>
      <w:r>
        <w:rPr>
          <w:rFonts w:hint="eastAsia"/>
        </w:rPr>
        <w:t>疫情防控</w:t>
      </w:r>
    </w:p>
    <w:p>
      <w:pPr>
        <w:pStyle w:val="165"/>
        <w:rPr>
          <w:sz w:val="21"/>
          <w:szCs w:val="21"/>
        </w:rPr>
      </w:pPr>
      <w:r>
        <w:rPr>
          <w:rFonts w:hint="eastAsia"/>
          <w:sz w:val="21"/>
          <w:szCs w:val="21"/>
        </w:rPr>
        <w:t>应</w:t>
      </w:r>
      <w:r>
        <w:rPr>
          <w:rFonts w:hint="eastAsia" w:ascii="宋体" w:hAnsi="宋体" w:eastAsia="宋体" w:cs="宋体"/>
          <w:i w:val="0"/>
          <w:caps w:val="0"/>
          <w:color w:val="333333"/>
          <w:spacing w:val="0"/>
          <w:sz w:val="21"/>
          <w:szCs w:val="21"/>
          <w:shd w:val="clear" w:fill="FFFFFF"/>
        </w:rPr>
        <w:t>建立疫情防控工作机制</w:t>
      </w:r>
      <w:r>
        <w:rPr>
          <w:rFonts w:hint="eastAsia" w:hAnsi="宋体" w:cs="宋体"/>
          <w:i w:val="0"/>
          <w:caps w:val="0"/>
          <w:color w:val="333333"/>
          <w:spacing w:val="0"/>
          <w:sz w:val="21"/>
          <w:szCs w:val="21"/>
          <w:shd w:val="clear" w:fill="FFFFFF"/>
          <w:lang w:eastAsia="zh-CN"/>
        </w:rPr>
        <w:t>，</w:t>
      </w:r>
      <w:r>
        <w:rPr>
          <w:rFonts w:hint="eastAsia" w:hAnsi="宋体" w:cs="宋体"/>
          <w:i w:val="0"/>
          <w:caps w:val="0"/>
          <w:color w:val="333333"/>
          <w:spacing w:val="0"/>
          <w:sz w:val="21"/>
          <w:szCs w:val="21"/>
          <w:shd w:val="clear" w:fill="FFFFFF"/>
          <w:lang w:val="en-US" w:eastAsia="zh-CN"/>
        </w:rPr>
        <w:t>制订</w:t>
      </w:r>
      <w:r>
        <w:rPr>
          <w:rFonts w:hint="eastAsia"/>
          <w:sz w:val="21"/>
          <w:szCs w:val="21"/>
        </w:rPr>
        <w:t>人员</w:t>
      </w:r>
      <w:r>
        <w:rPr>
          <w:rFonts w:hint="eastAsia"/>
          <w:sz w:val="21"/>
          <w:szCs w:val="21"/>
          <w:lang w:val="en-US" w:eastAsia="zh-CN"/>
        </w:rPr>
        <w:t>进出、</w:t>
      </w:r>
      <w:r>
        <w:rPr>
          <w:rFonts w:hint="eastAsia"/>
          <w:sz w:val="21"/>
          <w:szCs w:val="21"/>
        </w:rPr>
        <w:t>健康监测</w:t>
      </w:r>
      <w:r>
        <w:rPr>
          <w:rFonts w:hint="eastAsia"/>
          <w:sz w:val="21"/>
          <w:szCs w:val="21"/>
          <w:lang w:eastAsia="zh-CN"/>
        </w:rPr>
        <w:t>、</w:t>
      </w:r>
      <w:r>
        <w:rPr>
          <w:rFonts w:hint="eastAsia"/>
          <w:sz w:val="21"/>
          <w:szCs w:val="21"/>
          <w:lang w:val="en-US" w:eastAsia="zh-CN"/>
        </w:rPr>
        <w:t>健康</w:t>
      </w:r>
      <w:r>
        <w:rPr>
          <w:rFonts w:hint="eastAsia"/>
          <w:sz w:val="21"/>
          <w:szCs w:val="21"/>
        </w:rPr>
        <w:t>报备</w:t>
      </w:r>
      <w:r>
        <w:rPr>
          <w:rFonts w:hint="eastAsia"/>
          <w:sz w:val="21"/>
          <w:szCs w:val="21"/>
          <w:lang w:eastAsia="zh-CN"/>
        </w:rPr>
        <w:t>、</w:t>
      </w:r>
      <w:r>
        <w:rPr>
          <w:rFonts w:hint="eastAsia"/>
          <w:sz w:val="21"/>
          <w:szCs w:val="21"/>
          <w:lang w:val="en-US" w:eastAsia="zh-CN"/>
        </w:rPr>
        <w:t>老年人防护、内部管控、</w:t>
      </w:r>
      <w:r>
        <w:rPr>
          <w:rFonts w:hint="eastAsia"/>
          <w:sz w:val="21"/>
          <w:szCs w:val="21"/>
        </w:rPr>
        <w:t>疫情处置</w:t>
      </w:r>
      <w:r>
        <w:rPr>
          <w:rFonts w:hint="eastAsia"/>
          <w:sz w:val="21"/>
          <w:szCs w:val="21"/>
          <w:lang w:eastAsia="zh-CN"/>
        </w:rPr>
        <w:t>、</w:t>
      </w:r>
      <w:r>
        <w:rPr>
          <w:rFonts w:hint="eastAsia" w:ascii="宋体" w:hAnsi="宋体" w:eastAsia="宋体" w:cs="宋体"/>
          <w:i w:val="0"/>
          <w:caps w:val="0"/>
          <w:color w:val="333333"/>
          <w:spacing w:val="0"/>
          <w:sz w:val="21"/>
          <w:szCs w:val="21"/>
          <w:shd w:val="clear" w:fill="FFFFFF"/>
        </w:rPr>
        <w:t>院内感染控制与隔离</w:t>
      </w:r>
      <w:r>
        <w:rPr>
          <w:rFonts w:hint="eastAsia"/>
          <w:sz w:val="21"/>
          <w:szCs w:val="21"/>
        </w:rPr>
        <w:t>等常态化疫情防控管理制度</w:t>
      </w:r>
      <w:r>
        <w:rPr>
          <w:rFonts w:hint="eastAsia" w:hAnsi="宋体" w:cs="宋体"/>
          <w:i w:val="0"/>
          <w:caps w:val="0"/>
          <w:color w:val="333333"/>
          <w:spacing w:val="0"/>
          <w:sz w:val="21"/>
          <w:szCs w:val="21"/>
          <w:shd w:val="clear" w:fill="FFFFFF"/>
          <w:lang w:val="en-US" w:eastAsia="zh-CN"/>
        </w:rPr>
        <w:t>以及</w:t>
      </w:r>
      <w:r>
        <w:rPr>
          <w:rFonts w:hint="eastAsia" w:ascii="宋体" w:hAnsi="宋体" w:eastAsia="宋体" w:cs="宋体"/>
          <w:i w:val="0"/>
          <w:caps w:val="0"/>
          <w:color w:val="333333"/>
          <w:spacing w:val="0"/>
          <w:sz w:val="21"/>
          <w:szCs w:val="21"/>
          <w:shd w:val="clear" w:fill="FFFFFF"/>
        </w:rPr>
        <w:t>防控</w:t>
      </w:r>
      <w:r>
        <w:rPr>
          <w:rFonts w:hint="eastAsia" w:hAnsi="宋体" w:cs="宋体"/>
          <w:i w:val="0"/>
          <w:caps w:val="0"/>
          <w:color w:val="333333"/>
          <w:spacing w:val="0"/>
          <w:sz w:val="21"/>
          <w:szCs w:val="21"/>
          <w:shd w:val="clear" w:fill="FFFFFF"/>
          <w:lang w:val="en-US" w:eastAsia="zh-CN"/>
        </w:rPr>
        <w:t>工作</w:t>
      </w:r>
      <w:r>
        <w:rPr>
          <w:rFonts w:hint="eastAsia" w:ascii="宋体" w:hAnsi="宋体" w:eastAsia="宋体" w:cs="宋体"/>
          <w:i w:val="0"/>
          <w:caps w:val="0"/>
          <w:color w:val="333333"/>
          <w:spacing w:val="0"/>
          <w:sz w:val="21"/>
          <w:szCs w:val="21"/>
          <w:shd w:val="clear" w:fill="FFFFFF"/>
        </w:rPr>
        <w:t>方案</w:t>
      </w:r>
      <w:r>
        <w:rPr>
          <w:rFonts w:hint="eastAsia" w:hAnsi="宋体" w:cs="宋体"/>
          <w:i w:val="0"/>
          <w:caps w:val="0"/>
          <w:color w:val="333333"/>
          <w:spacing w:val="0"/>
          <w:sz w:val="21"/>
          <w:szCs w:val="21"/>
          <w:shd w:val="clear" w:fill="FFFFFF"/>
          <w:lang w:eastAsia="zh-CN"/>
        </w:rPr>
        <w:t>、</w:t>
      </w:r>
      <w:r>
        <w:rPr>
          <w:rFonts w:hint="eastAsia" w:ascii="宋体" w:hAnsi="宋体" w:eastAsia="宋体" w:cs="宋体"/>
          <w:i w:val="0"/>
          <w:caps w:val="0"/>
          <w:color w:val="333333"/>
          <w:spacing w:val="0"/>
          <w:sz w:val="21"/>
          <w:szCs w:val="21"/>
          <w:shd w:val="clear" w:fill="FFFFFF"/>
        </w:rPr>
        <w:t>应急预案</w:t>
      </w:r>
      <w:r>
        <w:rPr>
          <w:rFonts w:hint="eastAsia" w:hAnsi="宋体" w:cs="宋体"/>
          <w:i w:val="0"/>
          <w:caps w:val="0"/>
          <w:color w:val="333333"/>
          <w:spacing w:val="0"/>
          <w:sz w:val="21"/>
          <w:szCs w:val="21"/>
          <w:shd w:val="clear" w:fill="FFFFFF"/>
          <w:lang w:eastAsia="zh-CN"/>
        </w:rPr>
        <w:t>，</w:t>
      </w:r>
      <w:r>
        <w:rPr>
          <w:rFonts w:hint="eastAsia"/>
          <w:sz w:val="21"/>
          <w:szCs w:val="21"/>
        </w:rPr>
        <w:t>。</w:t>
      </w:r>
    </w:p>
    <w:p>
      <w:pPr>
        <w:pStyle w:val="165"/>
      </w:pPr>
      <w:r>
        <w:rPr>
          <w:rFonts w:hint="eastAsia"/>
        </w:rPr>
        <w:t>应</w:t>
      </w:r>
      <w:r>
        <w:rPr>
          <w:rFonts w:hint="eastAsia"/>
          <w:lang w:val="en-US" w:eastAsia="zh-CN"/>
        </w:rPr>
        <w:t>严格执行各项防控</w:t>
      </w:r>
      <w:r>
        <w:rPr>
          <w:rFonts w:hint="eastAsia"/>
        </w:rPr>
        <w:t>制度，督促工作人员</w:t>
      </w:r>
      <w:r>
        <w:rPr>
          <w:rFonts w:hint="eastAsia"/>
          <w:lang w:eastAsia="zh-CN"/>
        </w:rPr>
        <w:t>、</w:t>
      </w:r>
      <w:r>
        <w:rPr>
          <w:rFonts w:hint="eastAsia"/>
        </w:rPr>
        <w:t>服务对象</w:t>
      </w:r>
      <w:r>
        <w:rPr>
          <w:rFonts w:hint="eastAsia"/>
          <w:lang w:val="en-US" w:eastAsia="zh-CN"/>
        </w:rPr>
        <w:t>加强</w:t>
      </w:r>
      <w:r>
        <w:rPr>
          <w:rFonts w:hint="eastAsia"/>
        </w:rPr>
        <w:t>个人防护</w:t>
      </w:r>
      <w:r>
        <w:rPr>
          <w:rFonts w:hint="eastAsia"/>
          <w:lang w:eastAsia="zh-CN"/>
        </w:rPr>
        <w:t>，</w:t>
      </w:r>
      <w:r>
        <w:rPr>
          <w:rFonts w:hint="eastAsia"/>
          <w:lang w:val="en-US" w:eastAsia="zh-CN"/>
        </w:rPr>
        <w:t>做好老年人的心理慰藉</w:t>
      </w:r>
      <w:r>
        <w:rPr>
          <w:rFonts w:hint="eastAsia"/>
        </w:rPr>
        <w:t>。</w:t>
      </w:r>
    </w:p>
    <w:p>
      <w:pPr>
        <w:pStyle w:val="105"/>
        <w:spacing w:before="156" w:after="156"/>
      </w:pPr>
      <w:r>
        <w:rPr>
          <w:rFonts w:hint="eastAsia"/>
        </w:rPr>
        <w:t>安全应急</w:t>
      </w:r>
    </w:p>
    <w:p>
      <w:pPr>
        <w:pStyle w:val="165"/>
      </w:pPr>
      <w:r>
        <w:rPr>
          <w:rFonts w:hint="eastAsia"/>
        </w:rPr>
        <w:t>应制定安全应急预案，包括食品安全、消防安全、意外伤害、自然灾害、事故灾难、疫情防控等内容。</w:t>
      </w:r>
    </w:p>
    <w:p>
      <w:pPr>
        <w:pStyle w:val="165"/>
      </w:pPr>
      <w:r>
        <w:rPr>
          <w:rFonts w:hint="eastAsia"/>
        </w:rPr>
        <w:t>应开展应急演练，记录分析演练结果，持续改进应急预案。</w:t>
      </w:r>
    </w:p>
    <w:p>
      <w:pPr>
        <w:pStyle w:val="165"/>
      </w:pPr>
      <w:r>
        <w:rPr>
          <w:rFonts w:hint="eastAsia"/>
        </w:rPr>
        <w:t>发生突发事件应立即启动应急预案，按照应急预案处置。</w:t>
      </w:r>
    </w:p>
    <w:bookmarkEnd w:id="29"/>
    <w:p>
      <w:pPr>
        <w:pStyle w:val="164"/>
        <w:numPr>
          <w:ilvl w:val="0"/>
          <w:numId w:val="0"/>
        </w:numPr>
        <w:jc w:val="center"/>
      </w:pPr>
      <w:bookmarkStart w:id="99" w:name="BookMark8"/>
      <w:r>
        <w:rPr>
          <w:rFonts w:hint="eastAsia"/>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99"/>
    </w:p>
    <w:sectPr>
      <w:pgSz w:w="11906" w:h="16838"/>
      <w:pgMar w:top="2410"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XX/T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XX/T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426"/>
        </w:tabs>
        <w:ind w:left="426"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142"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attachedTemplate r:id="rId1"/>
  <w:documentProtection w:edit="forms" w:enforcement="1" w:cryptProviderType="rsaAES" w:cryptAlgorithmClass="hash" w:cryptAlgorithmType="typeAny" w:cryptAlgorithmSid="14" w:cryptSpinCount="100000" w:hash="03wbDPw23mwWwkMfYjW5x81LtK8CEOzkU+wMYqZKVbgBdfqQfBYr7I5euKLrvla5r+Hob3ztDgyRRprFYLSXIg==" w:salt="QH3OsXqc8jD0jQGO732r5A=="/>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0B"/>
    <w:rsid w:val="0000040A"/>
    <w:rsid w:val="00000A94"/>
    <w:rsid w:val="00001972"/>
    <w:rsid w:val="00001D9A"/>
    <w:rsid w:val="00007B3A"/>
    <w:rsid w:val="000107E0"/>
    <w:rsid w:val="00011FDE"/>
    <w:rsid w:val="00012FFD"/>
    <w:rsid w:val="00014162"/>
    <w:rsid w:val="00014340"/>
    <w:rsid w:val="00016A9C"/>
    <w:rsid w:val="00020578"/>
    <w:rsid w:val="00022184"/>
    <w:rsid w:val="00022762"/>
    <w:rsid w:val="000238E0"/>
    <w:rsid w:val="000249DB"/>
    <w:rsid w:val="00025412"/>
    <w:rsid w:val="0002595E"/>
    <w:rsid w:val="000303C3"/>
    <w:rsid w:val="000331D3"/>
    <w:rsid w:val="000346A5"/>
    <w:rsid w:val="000359C3"/>
    <w:rsid w:val="00035A7D"/>
    <w:rsid w:val="000365ED"/>
    <w:rsid w:val="00040FA7"/>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4363"/>
    <w:rsid w:val="00077B64"/>
    <w:rsid w:val="00080A1C"/>
    <w:rsid w:val="00082317"/>
    <w:rsid w:val="00083D2C"/>
    <w:rsid w:val="00086AA1"/>
    <w:rsid w:val="00087A77"/>
    <w:rsid w:val="00090CA6"/>
    <w:rsid w:val="00092B8A"/>
    <w:rsid w:val="00092FB0"/>
    <w:rsid w:val="000934C5"/>
    <w:rsid w:val="00093D25"/>
    <w:rsid w:val="00093DAB"/>
    <w:rsid w:val="0009455D"/>
    <w:rsid w:val="00094D73"/>
    <w:rsid w:val="00096D63"/>
    <w:rsid w:val="000A0B60"/>
    <w:rsid w:val="000A0EB8"/>
    <w:rsid w:val="000A19FC"/>
    <w:rsid w:val="000A296B"/>
    <w:rsid w:val="000A7311"/>
    <w:rsid w:val="000B060F"/>
    <w:rsid w:val="000B1592"/>
    <w:rsid w:val="000B1FF2"/>
    <w:rsid w:val="000B3CDA"/>
    <w:rsid w:val="000B4FC7"/>
    <w:rsid w:val="000B6A0B"/>
    <w:rsid w:val="000C0F6C"/>
    <w:rsid w:val="000C11DB"/>
    <w:rsid w:val="000C1492"/>
    <w:rsid w:val="000C2FBD"/>
    <w:rsid w:val="000C4B41"/>
    <w:rsid w:val="000C57D6"/>
    <w:rsid w:val="000C5A93"/>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37F53"/>
    <w:rsid w:val="00141114"/>
    <w:rsid w:val="00142969"/>
    <w:rsid w:val="001446C2"/>
    <w:rsid w:val="001457E7"/>
    <w:rsid w:val="00145D9D"/>
    <w:rsid w:val="00146388"/>
    <w:rsid w:val="00150634"/>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20DF"/>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7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13EC"/>
    <w:rsid w:val="00202AA4"/>
    <w:rsid w:val="002031F7"/>
    <w:rsid w:val="002040E6"/>
    <w:rsid w:val="0020527B"/>
    <w:rsid w:val="00205F2C"/>
    <w:rsid w:val="00210B15"/>
    <w:rsid w:val="002142EA"/>
    <w:rsid w:val="002204BB"/>
    <w:rsid w:val="00221B79"/>
    <w:rsid w:val="00221C6B"/>
    <w:rsid w:val="00223010"/>
    <w:rsid w:val="002253A1"/>
    <w:rsid w:val="00225CF8"/>
    <w:rsid w:val="0022794E"/>
    <w:rsid w:val="00233D64"/>
    <w:rsid w:val="0023482A"/>
    <w:rsid w:val="002359CB"/>
    <w:rsid w:val="00243540"/>
    <w:rsid w:val="00243CA6"/>
    <w:rsid w:val="0024497B"/>
    <w:rsid w:val="0024515B"/>
    <w:rsid w:val="00246021"/>
    <w:rsid w:val="0024666E"/>
    <w:rsid w:val="00247F52"/>
    <w:rsid w:val="00250B25"/>
    <w:rsid w:val="00250BBE"/>
    <w:rsid w:val="002515C2"/>
    <w:rsid w:val="0025194F"/>
    <w:rsid w:val="00255687"/>
    <w:rsid w:val="0026148A"/>
    <w:rsid w:val="00262696"/>
    <w:rsid w:val="00263D25"/>
    <w:rsid w:val="002643C3"/>
    <w:rsid w:val="00264A0C"/>
    <w:rsid w:val="0026607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9D3"/>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07FE"/>
    <w:rsid w:val="0032156B"/>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3958"/>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51FC"/>
    <w:rsid w:val="003F6272"/>
    <w:rsid w:val="003F6779"/>
    <w:rsid w:val="00400E72"/>
    <w:rsid w:val="00401400"/>
    <w:rsid w:val="00404869"/>
    <w:rsid w:val="00405884"/>
    <w:rsid w:val="00407D39"/>
    <w:rsid w:val="0041477A"/>
    <w:rsid w:val="004167A3"/>
    <w:rsid w:val="00420A24"/>
    <w:rsid w:val="00426160"/>
    <w:rsid w:val="00432DAA"/>
    <w:rsid w:val="00434305"/>
    <w:rsid w:val="00435DF7"/>
    <w:rsid w:val="00437A97"/>
    <w:rsid w:val="0044083F"/>
    <w:rsid w:val="00441AE7"/>
    <w:rsid w:val="00445574"/>
    <w:rsid w:val="004467FB"/>
    <w:rsid w:val="00446CF5"/>
    <w:rsid w:val="00452D6B"/>
    <w:rsid w:val="00454484"/>
    <w:rsid w:val="0045517B"/>
    <w:rsid w:val="00463B77"/>
    <w:rsid w:val="00463C7B"/>
    <w:rsid w:val="004644A6"/>
    <w:rsid w:val="004659BD"/>
    <w:rsid w:val="00470775"/>
    <w:rsid w:val="004746B1"/>
    <w:rsid w:val="0047583F"/>
    <w:rsid w:val="00475DE8"/>
    <w:rsid w:val="00477D47"/>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A1C"/>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03EE"/>
    <w:rsid w:val="00541853"/>
    <w:rsid w:val="00542073"/>
    <w:rsid w:val="00543BDA"/>
    <w:rsid w:val="005441CC"/>
    <w:rsid w:val="005479DA"/>
    <w:rsid w:val="00547BCC"/>
    <w:rsid w:val="0055013B"/>
    <w:rsid w:val="00551F6F"/>
    <w:rsid w:val="00555044"/>
    <w:rsid w:val="005579F4"/>
    <w:rsid w:val="00561475"/>
    <w:rsid w:val="0056487B"/>
    <w:rsid w:val="00564FB9"/>
    <w:rsid w:val="00573691"/>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2FEC"/>
    <w:rsid w:val="005A4A1B"/>
    <w:rsid w:val="005A7830"/>
    <w:rsid w:val="005A7FCE"/>
    <w:rsid w:val="005B0F3F"/>
    <w:rsid w:val="005B4903"/>
    <w:rsid w:val="005B51CE"/>
    <w:rsid w:val="005B5687"/>
    <w:rsid w:val="005B5885"/>
    <w:rsid w:val="005B5CD7"/>
    <w:rsid w:val="005B6CF6"/>
    <w:rsid w:val="005B7422"/>
    <w:rsid w:val="005C0A02"/>
    <w:rsid w:val="005C29B8"/>
    <w:rsid w:val="005C5F21"/>
    <w:rsid w:val="005C7156"/>
    <w:rsid w:val="005D0C75"/>
    <w:rsid w:val="005D4171"/>
    <w:rsid w:val="005D5F11"/>
    <w:rsid w:val="005D6A95"/>
    <w:rsid w:val="005D6B2C"/>
    <w:rsid w:val="005D6D9C"/>
    <w:rsid w:val="005E2335"/>
    <w:rsid w:val="005E34CA"/>
    <w:rsid w:val="005E3C18"/>
    <w:rsid w:val="005E5F83"/>
    <w:rsid w:val="005E6812"/>
    <w:rsid w:val="005E7881"/>
    <w:rsid w:val="005E78E0"/>
    <w:rsid w:val="005F0D9C"/>
    <w:rsid w:val="005F284E"/>
    <w:rsid w:val="005F4712"/>
    <w:rsid w:val="006015CE"/>
    <w:rsid w:val="00603CC8"/>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47C87"/>
    <w:rsid w:val="00651ACB"/>
    <w:rsid w:val="00651C47"/>
    <w:rsid w:val="00652AB2"/>
    <w:rsid w:val="00652FDE"/>
    <w:rsid w:val="00653FED"/>
    <w:rsid w:val="00654EC0"/>
    <w:rsid w:val="0065525B"/>
    <w:rsid w:val="00655D4F"/>
    <w:rsid w:val="00656D29"/>
    <w:rsid w:val="006640E5"/>
    <w:rsid w:val="006646F1"/>
    <w:rsid w:val="00664929"/>
    <w:rsid w:val="00664F62"/>
    <w:rsid w:val="006655E1"/>
    <w:rsid w:val="00672060"/>
    <w:rsid w:val="00672BFD"/>
    <w:rsid w:val="006769E2"/>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083"/>
    <w:rsid w:val="006D3E96"/>
    <w:rsid w:val="006D4515"/>
    <w:rsid w:val="006D4BB1"/>
    <w:rsid w:val="006D5068"/>
    <w:rsid w:val="006D6593"/>
    <w:rsid w:val="006E23EA"/>
    <w:rsid w:val="006F03A8"/>
    <w:rsid w:val="006F2ACA"/>
    <w:rsid w:val="006F2ADC"/>
    <w:rsid w:val="006F2BFE"/>
    <w:rsid w:val="006F31E9"/>
    <w:rsid w:val="006F6284"/>
    <w:rsid w:val="007002C5"/>
    <w:rsid w:val="00704387"/>
    <w:rsid w:val="007053EB"/>
    <w:rsid w:val="00707669"/>
    <w:rsid w:val="00711CBA"/>
    <w:rsid w:val="00711FB5"/>
    <w:rsid w:val="00712A01"/>
    <w:rsid w:val="00714F58"/>
    <w:rsid w:val="007227FE"/>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12D0"/>
    <w:rsid w:val="00765C43"/>
    <w:rsid w:val="00765EA7"/>
    <w:rsid w:val="00765EFB"/>
    <w:rsid w:val="007671CA"/>
    <w:rsid w:val="00767C61"/>
    <w:rsid w:val="0077008A"/>
    <w:rsid w:val="00773C1F"/>
    <w:rsid w:val="00774DA4"/>
    <w:rsid w:val="00776599"/>
    <w:rsid w:val="0078114B"/>
    <w:rsid w:val="00781DD2"/>
    <w:rsid w:val="00783ECF"/>
    <w:rsid w:val="0078413A"/>
    <w:rsid w:val="007912D5"/>
    <w:rsid w:val="007959E8"/>
    <w:rsid w:val="00795E9C"/>
    <w:rsid w:val="007A0521"/>
    <w:rsid w:val="007A2E12"/>
    <w:rsid w:val="007A3475"/>
    <w:rsid w:val="007A41C8"/>
    <w:rsid w:val="007A54CE"/>
    <w:rsid w:val="007A6FD9"/>
    <w:rsid w:val="007A7FFA"/>
    <w:rsid w:val="007B04EB"/>
    <w:rsid w:val="007B0D4F"/>
    <w:rsid w:val="007B4D28"/>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E69AC"/>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60B"/>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4B2"/>
    <w:rsid w:val="008D453D"/>
    <w:rsid w:val="008D53AD"/>
    <w:rsid w:val="008D562B"/>
    <w:rsid w:val="008D5733"/>
    <w:rsid w:val="008D622B"/>
    <w:rsid w:val="008D666C"/>
    <w:rsid w:val="008D6C7B"/>
    <w:rsid w:val="008D77B2"/>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58CF"/>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56A89"/>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2E0E"/>
    <w:rsid w:val="00993889"/>
    <w:rsid w:val="0099551B"/>
    <w:rsid w:val="0099713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3D5D"/>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17E3E"/>
    <w:rsid w:val="00A2271D"/>
    <w:rsid w:val="00A237D5"/>
    <w:rsid w:val="00A256FA"/>
    <w:rsid w:val="00A30AB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3A69"/>
    <w:rsid w:val="00A64774"/>
    <w:rsid w:val="00A648CD"/>
    <w:rsid w:val="00A6537A"/>
    <w:rsid w:val="00A67866"/>
    <w:rsid w:val="00A70B07"/>
    <w:rsid w:val="00A723F8"/>
    <w:rsid w:val="00A76C4E"/>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61B"/>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4EFA"/>
    <w:rsid w:val="00BC5DC7"/>
    <w:rsid w:val="00BC6B8B"/>
    <w:rsid w:val="00BC73D8"/>
    <w:rsid w:val="00BD08ED"/>
    <w:rsid w:val="00BD52D7"/>
    <w:rsid w:val="00BD5AD2"/>
    <w:rsid w:val="00BE22F3"/>
    <w:rsid w:val="00BE5B52"/>
    <w:rsid w:val="00BE73E3"/>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8C9"/>
    <w:rsid w:val="00C25FE2"/>
    <w:rsid w:val="00C26B53"/>
    <w:rsid w:val="00C279B2"/>
    <w:rsid w:val="00C33E50"/>
    <w:rsid w:val="00C34B73"/>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36DA"/>
    <w:rsid w:val="00C84E33"/>
    <w:rsid w:val="00C86D6F"/>
    <w:rsid w:val="00C905FC"/>
    <w:rsid w:val="00C92D03"/>
    <w:rsid w:val="00C9319C"/>
    <w:rsid w:val="00C9435D"/>
    <w:rsid w:val="00C94DF2"/>
    <w:rsid w:val="00C96741"/>
    <w:rsid w:val="00C97A23"/>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DCD"/>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197D"/>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52D"/>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C72B9"/>
    <w:rsid w:val="00ED067A"/>
    <w:rsid w:val="00ED2B50"/>
    <w:rsid w:val="00EE0350"/>
    <w:rsid w:val="00EE0719"/>
    <w:rsid w:val="00EE0E80"/>
    <w:rsid w:val="00EE54A6"/>
    <w:rsid w:val="00EE613F"/>
    <w:rsid w:val="00EE7295"/>
    <w:rsid w:val="00EE7869"/>
    <w:rsid w:val="00EF054A"/>
    <w:rsid w:val="00EF0EC5"/>
    <w:rsid w:val="00EF3235"/>
    <w:rsid w:val="00EF7E72"/>
    <w:rsid w:val="00F06D37"/>
    <w:rsid w:val="00F07B9D"/>
    <w:rsid w:val="00F11586"/>
    <w:rsid w:val="00F1183B"/>
    <w:rsid w:val="00F11C9F"/>
    <w:rsid w:val="00F12263"/>
    <w:rsid w:val="00F128B2"/>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4214"/>
    <w:rsid w:val="00F65893"/>
    <w:rsid w:val="00F66A4A"/>
    <w:rsid w:val="00F71E22"/>
    <w:rsid w:val="00F72142"/>
    <w:rsid w:val="00F72AE7"/>
    <w:rsid w:val="00F73F1A"/>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35CA"/>
    <w:rsid w:val="00FB45F1"/>
    <w:rsid w:val="00FB4A72"/>
    <w:rsid w:val="00FB54E8"/>
    <w:rsid w:val="00FB7054"/>
    <w:rsid w:val="00FC17B7"/>
    <w:rsid w:val="00FC1925"/>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669A"/>
    <w:rsid w:val="00FF730C"/>
    <w:rsid w:val="00FF73F4"/>
    <w:rsid w:val="00FF7CE4"/>
    <w:rsid w:val="00FF7E39"/>
    <w:rsid w:val="0670603E"/>
    <w:rsid w:val="09B66F47"/>
    <w:rsid w:val="0B1A77D0"/>
    <w:rsid w:val="11075807"/>
    <w:rsid w:val="23EA49C3"/>
    <w:rsid w:val="319419A8"/>
    <w:rsid w:val="3628152D"/>
    <w:rsid w:val="3AED356A"/>
    <w:rsid w:val="3FFE6027"/>
    <w:rsid w:val="476419A0"/>
    <w:rsid w:val="4EFB5872"/>
    <w:rsid w:val="51E0242B"/>
    <w:rsid w:val="52847FAE"/>
    <w:rsid w:val="53854CDF"/>
    <w:rsid w:val="5A0943D1"/>
    <w:rsid w:val="5BA36579"/>
    <w:rsid w:val="5C5517D4"/>
    <w:rsid w:val="60F7042E"/>
    <w:rsid w:val="613E05B0"/>
    <w:rsid w:val="63F623AA"/>
    <w:rsid w:val="64BE166B"/>
    <w:rsid w:val="66277CA1"/>
    <w:rsid w:val="6AEF7FA3"/>
    <w:rsid w:val="6C207A1D"/>
    <w:rsid w:val="6D385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rFonts w:ascii="Times New Roman" w:hAnsi="Times New Roman" w:eastAsia="宋体" w:cs="Times New Roman"/>
      <w:b/>
      <w:bCs/>
      <w:kern w:val="44"/>
      <w:sz w:val="44"/>
      <w:szCs w:val="44"/>
    </w:rPr>
  </w:style>
  <w:style w:type="character" w:customStyle="1" w:styleId="35">
    <w:name w:val="标题 2 字符"/>
    <w:link w:val="3"/>
    <w:qFormat/>
    <w:uiPriority w:val="0"/>
    <w:rPr>
      <w:rFonts w:ascii="Arial" w:hAnsi="Arial" w:eastAsia="黑体" w:cs="Times New Roman"/>
      <w:b/>
      <w:bCs/>
      <w:sz w:val="32"/>
      <w:szCs w:val="32"/>
    </w:rPr>
  </w:style>
  <w:style w:type="character" w:customStyle="1" w:styleId="36">
    <w:name w:val="标题 3 字符"/>
    <w:link w:val="4"/>
    <w:qFormat/>
    <w:uiPriority w:val="0"/>
    <w:rPr>
      <w:rFonts w:ascii="Times New Roman" w:hAnsi="Times New Roman" w:eastAsia="宋体" w:cs="Times New Roman"/>
      <w:b/>
      <w:bCs/>
      <w:sz w:val="32"/>
      <w:szCs w:val="32"/>
    </w:rPr>
  </w:style>
  <w:style w:type="character" w:customStyle="1" w:styleId="37">
    <w:name w:val="标题 4 字符"/>
    <w:link w:val="5"/>
    <w:qFormat/>
    <w:uiPriority w:val="0"/>
    <w:rPr>
      <w:rFonts w:ascii="Arial" w:hAnsi="Arial" w:eastAsia="黑体" w:cs="Times New Roman"/>
      <w:b/>
      <w:bCs/>
      <w:sz w:val="28"/>
      <w:szCs w:val="28"/>
    </w:rPr>
  </w:style>
  <w:style w:type="character" w:customStyle="1" w:styleId="38">
    <w:name w:val="标题 5 字符"/>
    <w:link w:val="6"/>
    <w:qFormat/>
    <w:uiPriority w:val="0"/>
    <w:rPr>
      <w:rFonts w:ascii="Times New Roman" w:hAnsi="Times New Roman" w:eastAsia="宋体" w:cs="Times New Roman"/>
      <w:b/>
      <w:bCs/>
      <w:sz w:val="28"/>
      <w:szCs w:val="28"/>
    </w:rPr>
  </w:style>
  <w:style w:type="character" w:customStyle="1" w:styleId="39">
    <w:name w:val="标题 6 字符"/>
    <w:link w:val="7"/>
    <w:qFormat/>
    <w:uiPriority w:val="0"/>
    <w:rPr>
      <w:rFonts w:ascii="Arial" w:hAnsi="Arial" w:eastAsia="黑体" w:cs="Times New Roman"/>
      <w:b/>
      <w:bCs/>
      <w:sz w:val="24"/>
      <w:szCs w:val="24"/>
    </w:rPr>
  </w:style>
  <w:style w:type="character" w:customStyle="1" w:styleId="40">
    <w:name w:val="标题 7 字符"/>
    <w:link w:val="8"/>
    <w:qFormat/>
    <w:uiPriority w:val="0"/>
    <w:rPr>
      <w:rFonts w:ascii="Times New Roman" w:hAnsi="Times New Roman" w:eastAsia="宋体" w:cs="Times New Roman"/>
      <w:b/>
      <w:bCs/>
      <w:sz w:val="24"/>
      <w:szCs w:val="24"/>
    </w:rPr>
  </w:style>
  <w:style w:type="character" w:customStyle="1" w:styleId="41">
    <w:name w:val="标题 8 字符"/>
    <w:link w:val="9"/>
    <w:qFormat/>
    <w:uiPriority w:val="0"/>
    <w:rPr>
      <w:rFonts w:ascii="Arial" w:hAnsi="Arial" w:eastAsia="黑体" w:cs="Times New Roman"/>
      <w:sz w:val="24"/>
      <w:szCs w:val="24"/>
    </w:rPr>
  </w:style>
  <w:style w:type="character" w:customStyle="1" w:styleId="42">
    <w:name w:val="标题 9 字符"/>
    <w:link w:val="10"/>
    <w:qFormat/>
    <w:uiPriority w:val="0"/>
    <w:rPr>
      <w:rFonts w:ascii="Arial" w:hAnsi="Arial" w:eastAsia="黑体" w:cs="Times New Roman"/>
      <w:szCs w:val="21"/>
    </w:rPr>
  </w:style>
  <w:style w:type="character" w:customStyle="1" w:styleId="43">
    <w:name w:val="页眉 字符"/>
    <w:link w:val="18"/>
    <w:qFormat/>
    <w:uiPriority w:val="99"/>
    <w:rPr>
      <w:rFonts w:ascii="Times New Roman" w:hAnsi="Times New Roman" w:eastAsia="宋体" w:cs="Times New Roman"/>
      <w:sz w:val="18"/>
      <w:szCs w:val="18"/>
    </w:rPr>
  </w:style>
  <w:style w:type="character" w:customStyle="1" w:styleId="44">
    <w:name w:val="页脚 字符"/>
    <w:link w:val="17"/>
    <w:qFormat/>
    <w:uiPriority w:val="99"/>
    <w:rPr>
      <w:rFonts w:ascii="宋体" w:hAnsi="Times New Roman" w:eastAsia="宋体" w:cs="Times New Roman"/>
      <w:sz w:val="18"/>
      <w:szCs w:val="18"/>
    </w:rPr>
  </w:style>
  <w:style w:type="character" w:customStyle="1" w:styleId="45">
    <w:name w:val="批注框文本 字符"/>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rPr>
  </w:style>
  <w:style w:type="character" w:customStyle="1" w:styleId="48">
    <w:name w:val="标题 字符"/>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ind w:left="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tabs>
        <w:tab w:val="left" w:pos="851"/>
        <w:tab w:val="clear" w:pos="426"/>
      </w:tabs>
      <w:ind w:left="851"/>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uiPriority w:val="0"/>
    <w:rPr>
      <w:rFonts w:ascii="Arial" w:hAnsi="Arial" w:eastAsia="宋体" w:cs="Arial"/>
      <w:color w:val="auto"/>
      <w:spacing w:val="0"/>
      <w:sz w:val="20"/>
    </w:rPr>
  </w:style>
  <w:style w:type="paragraph" w:customStyle="1" w:styleId="138">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uiPriority w:val="0"/>
    <w:pPr>
      <w:tabs>
        <w:tab w:val="left" w:pos="840"/>
      </w:tabs>
    </w:pPr>
  </w:style>
  <w:style w:type="paragraph" w:customStyle="1" w:styleId="141">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uiPriority w:val="0"/>
    <w:pPr>
      <w:adjustRightInd/>
      <w:spacing w:line="240" w:lineRule="auto"/>
      <w:jc w:val="left"/>
    </w:pPr>
    <w:rPr>
      <w:bCs/>
      <w:iCs/>
    </w:rPr>
  </w:style>
  <w:style w:type="paragraph" w:customStyle="1" w:styleId="143">
    <w:name w:val="目录 31"/>
    <w:basedOn w:val="1"/>
    <w:next w:val="1"/>
    <w:semiHidden/>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vAnchor="page" w:hAnchor="page" w:x="1419" w:y="14097"/>
    </w:pPr>
  </w:style>
  <w:style w:type="paragraph" w:customStyle="1" w:styleId="194">
    <w:name w:val="其他实施日期"/>
    <w:basedOn w:val="154"/>
    <w:qFormat/>
    <w:uiPriority w:val="0"/>
    <w:pPr>
      <w:framePr w:w="3997" w:h="471" w:hRule="exact" w:vSpace="181" w:vAnchor="page" w:hAnchor="page" w:x="7089" w:y="14097"/>
    </w:pPr>
  </w:style>
  <w:style w:type="paragraph" w:customStyle="1" w:styleId="195">
    <w:name w:val="标准文件_文件编号"/>
    <w:basedOn w:val="56"/>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glossaryDocument" Target="glossary/document.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AFB8179A6744626BEC0FF46567F9430"/>
        <w:style w:val=""/>
        <w:category>
          <w:name w:val="常规"/>
          <w:gallery w:val="placeholder"/>
        </w:category>
        <w:types>
          <w:type w:val="bbPlcHdr"/>
        </w:types>
        <w:behaviors>
          <w:behavior w:val="content"/>
        </w:behaviors>
        <w:description w:val=""/>
        <w:guid w:val="{BA8E1A55-448D-49FB-814D-31543D6AB07C}"/>
      </w:docPartPr>
      <w:docPartBody>
        <w:p>
          <w:pPr>
            <w:pStyle w:val="5"/>
          </w:pPr>
          <w:r>
            <w:rPr>
              <w:rStyle w:val="4"/>
              <w:rFonts w:hint="eastAsia"/>
            </w:rPr>
            <w:t>单击或点击此处输入文字。</w:t>
          </w:r>
        </w:p>
      </w:docPartBody>
    </w:docPart>
    <w:docPart>
      <w:docPartPr>
        <w:name w:val="E646D39B0E2D46688E6F0AA45C908FDB"/>
        <w:style w:val=""/>
        <w:category>
          <w:name w:val="常规"/>
          <w:gallery w:val="placeholder"/>
        </w:category>
        <w:types>
          <w:type w:val="bbPlcHdr"/>
        </w:types>
        <w:behaviors>
          <w:behavior w:val="content"/>
        </w:behaviors>
        <w:description w:val=""/>
        <w:guid w:val="{563937D2-0321-46E6-9A00-D60745A985BF}"/>
      </w:docPartPr>
      <w:docPartBody>
        <w:p>
          <w:pPr>
            <w:pStyle w:val="6"/>
          </w:pPr>
          <w:r>
            <w:rPr>
              <w:rStyle w:val="4"/>
              <w:rFonts w:hint="eastAsia"/>
            </w:rPr>
            <w:t>选择一项。</w:t>
          </w:r>
        </w:p>
      </w:docPartBody>
    </w:docPart>
    <w:docPart>
      <w:docPartPr>
        <w:name w:val="47B2BCB3F6684B7E9A5A26504A9F99AD"/>
        <w:style w:val=""/>
        <w:category>
          <w:name w:val="常规"/>
          <w:gallery w:val="placeholder"/>
        </w:category>
        <w:types>
          <w:type w:val="bbPlcHdr"/>
        </w:types>
        <w:behaviors>
          <w:behavior w:val="content"/>
        </w:behaviors>
        <w:description w:val=""/>
        <w:guid w:val="{154445B1-6E2D-43A3-96A3-22143ECB2509}"/>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CD"/>
    <w:rsid w:val="00003616"/>
    <w:rsid w:val="00020985"/>
    <w:rsid w:val="004B6742"/>
    <w:rsid w:val="00563FE2"/>
    <w:rsid w:val="007B4231"/>
    <w:rsid w:val="00A70CC2"/>
    <w:rsid w:val="00D14FED"/>
    <w:rsid w:val="00D327CD"/>
    <w:rsid w:val="00E86EFA"/>
    <w:rsid w:val="00F06494"/>
    <w:rsid w:val="00FF4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0AFB8179A6744626BEC0FF46567F943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E646D39B0E2D46688E6F0AA45C908FD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47B2BCB3F6684B7E9A5A26504A9F99AD"/>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1EF73D-4A18-4DC4-92AD-9A8E6783CED4}">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8</Pages>
  <Words>790</Words>
  <Characters>4504</Characters>
  <Lines>37</Lines>
  <Paragraphs>10</Paragraphs>
  <TotalTime>2</TotalTime>
  <ScaleCrop>false</ScaleCrop>
  <LinksUpToDate>false</LinksUpToDate>
  <CharactersWithSpaces>5284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2021-06-23T13:02:00Z</dcterms:created>
  <dc:creator>asus</dc:creator>
  <dc:description>&lt;config cover="true" show_menu="true" version="1.0.0" doctype="SDKXY"&gt;_x000d_
&lt;/config&gt;</dc:description>
  <cp:lastModifiedBy>·1+9+</cp:lastModifiedBy>
  <cp:lastPrinted>2020-08-30T10:00:00Z</cp:lastPrinted>
  <dcterms:modified xsi:type="dcterms:W3CDTF">2021-09-14T07:15:08Z</dcterms:modified>
  <dc:title>地方标准</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2052-11.1.0.10700</vt:lpwstr>
  </property>
  <property fmtid="{D5CDD505-2E9C-101B-9397-08002B2CF9AE}" pid="15" name="ICV">
    <vt:lpwstr>D681CDF2DC9D477689F15914E9485728</vt:lpwstr>
  </property>
</Properties>
</file>